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0763C">
      <w:pPr>
        <w:jc w:val="both"/>
        <w:rPr>
          <w:rFonts w:hint="eastAsia" w:ascii="仿宋" w:hAnsi="仿宋" w:eastAsia="仿宋" w:cs="仿宋"/>
          <w:b/>
          <w:bCs/>
          <w:color w:val="auto"/>
          <w:sz w:val="40"/>
          <w:szCs w:val="40"/>
          <w:highlight w:val="none"/>
        </w:rPr>
      </w:pPr>
    </w:p>
    <w:p w14:paraId="6EBF76A3">
      <w:pPr>
        <w:pStyle w:val="10"/>
        <w:ind w:firstLine="0" w:firstLineChars="0"/>
        <w:jc w:val="center"/>
        <w:rPr>
          <w:rFonts w:hint="eastAsia"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lang w:eastAsia="zh-CN"/>
        </w:rPr>
        <w:t>框架协议</w:t>
      </w:r>
      <w:r>
        <w:rPr>
          <w:rFonts w:hint="eastAsia" w:ascii="仿宋" w:hAnsi="仿宋" w:eastAsia="仿宋" w:cs="仿宋"/>
          <w:b/>
          <w:bCs/>
          <w:color w:val="auto"/>
          <w:sz w:val="96"/>
          <w:szCs w:val="96"/>
          <w:highlight w:val="none"/>
        </w:rPr>
        <w:t>征集文件</w:t>
      </w:r>
    </w:p>
    <w:p w14:paraId="1F5597F8">
      <w:pPr>
        <w:ind w:left="2811" w:hanging="2811" w:hangingChars="700"/>
        <w:rPr>
          <w:rFonts w:hint="eastAsia" w:ascii="仿宋" w:hAnsi="仿宋" w:eastAsia="仿宋" w:cs="仿宋"/>
          <w:b/>
          <w:bCs/>
          <w:color w:val="auto"/>
          <w:sz w:val="40"/>
          <w:szCs w:val="40"/>
          <w:highlight w:val="none"/>
        </w:rPr>
      </w:pPr>
    </w:p>
    <w:p w14:paraId="23B79B05">
      <w:pPr>
        <w:rPr>
          <w:rFonts w:hint="eastAsia" w:ascii="仿宋" w:hAnsi="仿宋" w:eastAsia="仿宋" w:cs="仿宋"/>
          <w:b/>
          <w:bCs/>
          <w:color w:val="auto"/>
          <w:sz w:val="40"/>
          <w:szCs w:val="40"/>
          <w:highlight w:val="none"/>
        </w:rPr>
      </w:pPr>
    </w:p>
    <w:p w14:paraId="7DAB5BEE">
      <w:pPr>
        <w:spacing w:line="480" w:lineRule="auto"/>
        <w:rPr>
          <w:rFonts w:hint="eastAsia" w:ascii="仿宋" w:hAnsi="仿宋" w:eastAsia="仿宋" w:cs="仿宋"/>
          <w:color w:val="auto"/>
          <w:highlight w:val="none"/>
          <w:lang w:eastAsia="zh-CN"/>
        </w:rPr>
      </w:pPr>
      <w:r>
        <w:rPr>
          <w:rFonts w:hint="eastAsia" w:ascii="仿宋" w:hAnsi="仿宋" w:eastAsia="仿宋" w:cs="仿宋"/>
          <w:b/>
          <w:bCs/>
          <w:color w:val="auto"/>
          <w:sz w:val="32"/>
          <w:szCs w:val="32"/>
          <w:highlight w:val="none"/>
        </w:rPr>
        <w:t>项目编号：</w:t>
      </w:r>
      <w:r>
        <w:rPr>
          <w:rFonts w:hint="eastAsia" w:ascii="仿宋" w:hAnsi="仿宋" w:eastAsia="仿宋" w:cs="仿宋"/>
          <w:b/>
          <w:bCs/>
          <w:color w:val="auto"/>
          <w:sz w:val="32"/>
          <w:szCs w:val="32"/>
          <w:highlight w:val="none"/>
          <w:lang w:eastAsia="zh-CN"/>
        </w:rPr>
        <w:t>JACTJL-内采字〔2026〕056号</w:t>
      </w:r>
    </w:p>
    <w:p w14:paraId="365B9616">
      <w:pPr>
        <w:spacing w:line="480" w:lineRule="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项目名称：</w:t>
      </w:r>
      <w:r>
        <w:rPr>
          <w:rFonts w:hint="eastAsia" w:ascii="仿宋" w:hAnsi="仿宋" w:eastAsia="仿宋" w:cs="仿宋"/>
          <w:b/>
          <w:bCs/>
          <w:color w:val="auto"/>
          <w:sz w:val="32"/>
          <w:szCs w:val="32"/>
          <w:highlight w:val="none"/>
          <w:lang w:eastAsia="zh-CN"/>
        </w:rPr>
        <w:t>吉安城控集团债券主承销商征集项目</w:t>
      </w:r>
    </w:p>
    <w:p w14:paraId="6020A9BC">
      <w:pPr>
        <w:spacing w:line="480" w:lineRule="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采购单位：</w:t>
      </w:r>
      <w:r>
        <w:rPr>
          <w:rFonts w:hint="eastAsia" w:ascii="仿宋" w:hAnsi="仿宋" w:eastAsia="仿宋" w:cs="仿宋"/>
          <w:b/>
          <w:bCs/>
          <w:color w:val="auto"/>
          <w:sz w:val="32"/>
          <w:szCs w:val="32"/>
          <w:highlight w:val="none"/>
          <w:lang w:eastAsia="zh-CN"/>
        </w:rPr>
        <w:t>吉安城投控股集团有限公司</w:t>
      </w:r>
    </w:p>
    <w:p w14:paraId="656251FD">
      <w:pPr>
        <w:spacing w:line="480" w:lineRule="auto"/>
        <w:rPr>
          <w:rFonts w:hint="eastAsia" w:ascii="仿宋" w:hAnsi="仿宋" w:eastAsia="仿宋" w:cs="仿宋"/>
          <w:b/>
          <w:bCs/>
          <w:color w:val="auto"/>
          <w:sz w:val="32"/>
          <w:szCs w:val="32"/>
          <w:highlight w:val="none"/>
        </w:rPr>
      </w:pPr>
    </w:p>
    <w:p w14:paraId="2127D1F3">
      <w:pPr>
        <w:pStyle w:val="6"/>
        <w:ind w:firstLine="643"/>
        <w:rPr>
          <w:rFonts w:hint="eastAsia" w:ascii="仿宋" w:hAnsi="仿宋" w:eastAsia="仿宋" w:cs="仿宋"/>
          <w:b/>
          <w:bCs/>
          <w:color w:val="auto"/>
          <w:sz w:val="32"/>
          <w:szCs w:val="32"/>
          <w:highlight w:val="none"/>
        </w:rPr>
      </w:pPr>
    </w:p>
    <w:p w14:paraId="04A106BA">
      <w:pPr>
        <w:pStyle w:val="6"/>
        <w:ind w:firstLine="643"/>
        <w:rPr>
          <w:rFonts w:hint="eastAsia" w:ascii="仿宋" w:hAnsi="仿宋" w:eastAsia="仿宋" w:cs="仿宋"/>
          <w:b/>
          <w:bCs/>
          <w:color w:val="auto"/>
          <w:sz w:val="32"/>
          <w:szCs w:val="32"/>
          <w:highlight w:val="none"/>
        </w:rPr>
      </w:pPr>
    </w:p>
    <w:p w14:paraId="4A496CD2">
      <w:pPr>
        <w:spacing w:line="502" w:lineRule="exact"/>
        <w:ind w:right="40"/>
        <w:jc w:val="center"/>
        <w:rPr>
          <w:rFonts w:hint="eastAsia" w:ascii="仿宋" w:hAnsi="仿宋" w:eastAsia="仿宋" w:cs="仿宋"/>
          <w:b/>
          <w:bCs/>
          <w:color w:val="auto"/>
          <w:sz w:val="44"/>
          <w:szCs w:val="44"/>
          <w:highlight w:val="none"/>
        </w:rPr>
      </w:pPr>
    </w:p>
    <w:p w14:paraId="4AFDFA3B">
      <w:pPr>
        <w:spacing w:line="502" w:lineRule="exact"/>
        <w:ind w:right="40"/>
        <w:jc w:val="center"/>
        <w:rPr>
          <w:rFonts w:hint="eastAsia" w:ascii="仿宋" w:hAnsi="仿宋" w:eastAsia="仿宋" w:cs="仿宋"/>
          <w:color w:val="auto"/>
          <w:sz w:val="20"/>
          <w:szCs w:val="20"/>
          <w:highlight w:val="none"/>
        </w:rPr>
      </w:pPr>
      <w:r>
        <w:rPr>
          <w:rFonts w:hint="eastAsia" w:ascii="仿宋" w:hAnsi="仿宋" w:eastAsia="仿宋" w:cs="仿宋"/>
          <w:b/>
          <w:bCs/>
          <w:color w:val="auto"/>
          <w:sz w:val="44"/>
          <w:szCs w:val="44"/>
          <w:highlight w:val="none"/>
        </w:rPr>
        <w:t>吉安城投建设监理有限公司</w:t>
      </w:r>
    </w:p>
    <w:p w14:paraId="738560F5">
      <w:pPr>
        <w:spacing w:line="324" w:lineRule="exact"/>
        <w:rPr>
          <w:rFonts w:hint="eastAsia" w:ascii="仿宋" w:hAnsi="仿宋" w:eastAsia="仿宋" w:cs="仿宋"/>
          <w:color w:val="auto"/>
          <w:szCs w:val="24"/>
          <w:highlight w:val="none"/>
        </w:rPr>
      </w:pPr>
    </w:p>
    <w:p w14:paraId="00490276">
      <w:pPr>
        <w:spacing w:line="534" w:lineRule="exact"/>
        <w:ind w:right="40"/>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二零二</w:t>
      </w:r>
      <w:r>
        <w:rPr>
          <w:rFonts w:hint="eastAsia" w:ascii="仿宋" w:hAnsi="仿宋" w:eastAsia="仿宋" w:cs="仿宋"/>
          <w:b/>
          <w:bCs/>
          <w:color w:val="auto"/>
          <w:sz w:val="44"/>
          <w:szCs w:val="44"/>
          <w:highlight w:val="none"/>
          <w:lang w:val="en-US" w:eastAsia="zh-CN"/>
        </w:rPr>
        <w:t>六</w:t>
      </w:r>
      <w:r>
        <w:rPr>
          <w:rFonts w:hint="eastAsia" w:ascii="仿宋" w:hAnsi="仿宋" w:eastAsia="仿宋" w:cs="仿宋"/>
          <w:b/>
          <w:bCs/>
          <w:color w:val="auto"/>
          <w:sz w:val="44"/>
          <w:szCs w:val="44"/>
          <w:highlight w:val="none"/>
        </w:rPr>
        <w:t>年</w:t>
      </w:r>
      <w:r>
        <w:rPr>
          <w:rFonts w:hint="eastAsia" w:ascii="仿宋" w:hAnsi="仿宋" w:eastAsia="仿宋" w:cs="仿宋"/>
          <w:b/>
          <w:bCs/>
          <w:color w:val="auto"/>
          <w:sz w:val="44"/>
          <w:szCs w:val="44"/>
          <w:highlight w:val="none"/>
          <w:lang w:val="en-US" w:eastAsia="zh-CN"/>
        </w:rPr>
        <w:t>七</w:t>
      </w:r>
      <w:r>
        <w:rPr>
          <w:rFonts w:hint="eastAsia" w:ascii="仿宋" w:hAnsi="仿宋" w:eastAsia="仿宋" w:cs="仿宋"/>
          <w:b/>
          <w:bCs/>
          <w:color w:val="auto"/>
          <w:sz w:val="44"/>
          <w:szCs w:val="44"/>
          <w:highlight w:val="none"/>
        </w:rPr>
        <w:t>月</w:t>
      </w:r>
    </w:p>
    <w:p w14:paraId="3366FB2F">
      <w:pPr>
        <w:rPr>
          <w:rFonts w:hint="eastAsia" w:ascii="仿宋" w:hAnsi="仿宋" w:eastAsia="仿宋" w:cs="仿宋"/>
          <w:b/>
          <w:bCs/>
          <w:color w:val="auto"/>
          <w:sz w:val="44"/>
          <w:szCs w:val="44"/>
          <w:highlight w:val="none"/>
        </w:rPr>
        <w:sectPr>
          <w:footerReference r:id="rId5" w:type="default"/>
          <w:pgSz w:w="11900" w:h="16838"/>
          <w:pgMar w:top="1440" w:right="1440" w:bottom="1440" w:left="1440" w:header="737" w:footer="454" w:gutter="0"/>
          <w:pgNumType w:start="1"/>
          <w:cols w:space="0" w:num="1"/>
        </w:sectPr>
      </w:pPr>
    </w:p>
    <w:p w14:paraId="6DF42511">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目 录</w:t>
      </w:r>
    </w:p>
    <w:p w14:paraId="08AA81B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TOC \o "1-1" \h \u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"_Toc25256"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第一章 征集公告</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044B192">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"_Toc30852"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xml:space="preserve">第二章 </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_Toc30852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9D87BF5">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"_Toc12647"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第三章 合同条款</w:t>
      </w:r>
      <w:r>
        <w:rPr>
          <w:rFonts w:hint="eastAsia" w:ascii="仿宋" w:hAnsi="仿宋" w:eastAsia="仿宋" w:cs="仿宋"/>
          <w:color w:val="auto"/>
          <w:highlight w:val="none"/>
        </w:rPr>
        <w:tab/>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p>
    <w:p w14:paraId="600DE62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"_Toc3085"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lang w:val="zh-TW"/>
        </w:rPr>
        <w:t xml:space="preserve">第四章 </w:t>
      </w:r>
      <w:r>
        <w:rPr>
          <w:rFonts w:hint="eastAsia" w:ascii="仿宋" w:hAnsi="仿宋" w:eastAsia="仿宋" w:cs="仿宋"/>
          <w:color w:val="auto"/>
          <w:highlight w:val="none"/>
        </w:rPr>
        <w:t>项目需求</w:t>
      </w:r>
      <w:r>
        <w:rPr>
          <w:rFonts w:hint="eastAsia" w:ascii="仿宋" w:hAnsi="仿宋" w:eastAsia="仿宋" w:cs="仿宋"/>
          <w:color w:val="auto"/>
          <w:highlight w:val="none"/>
        </w:rPr>
        <w:tab/>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6</w:t>
      </w:r>
    </w:p>
    <w:p w14:paraId="4D1B1603">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"_Toc19996"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第五章 评审标准</w:t>
      </w:r>
      <w:r>
        <w:rPr>
          <w:rFonts w:hint="eastAsia" w:ascii="仿宋" w:hAnsi="仿宋" w:eastAsia="仿宋" w:cs="仿宋"/>
          <w:color w:val="auto"/>
          <w:highlight w:val="none"/>
        </w:rPr>
        <w:tab/>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9</w:t>
      </w:r>
    </w:p>
    <w:p w14:paraId="1425E0E7">
      <w:pPr>
        <w:pStyle w:val="17"/>
        <w:tabs>
          <w:tab w:val="right" w:leader="dot" w:pos="9214"/>
        </w:tabs>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"_Toc11293"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第六章 响应文件格式</w:t>
      </w:r>
      <w:r>
        <w:rPr>
          <w:rFonts w:hint="eastAsia" w:ascii="仿宋" w:hAnsi="仿宋" w:eastAsia="仿宋" w:cs="仿宋"/>
          <w:color w:val="auto"/>
          <w:highlight w:val="none"/>
        </w:rPr>
        <w:tab/>
      </w:r>
      <w:r>
        <w:rPr>
          <w:rFonts w:hint="eastAsia" w:ascii="仿宋" w:hAnsi="仿宋" w:eastAsia="仿宋" w:cs="仿宋"/>
          <w:color w:val="auto"/>
          <w:highlight w:val="none"/>
        </w:rPr>
        <w:t>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2</w:t>
      </w:r>
    </w:p>
    <w:p w14:paraId="708DB0F7">
      <w:pPr>
        <w:pStyle w:val="9"/>
        <w:ind w:left="0"/>
        <w:rPr>
          <w:rFonts w:hint="eastAsia" w:ascii="仿宋" w:hAnsi="仿宋" w:eastAsia="仿宋" w:cs="仿宋"/>
          <w:color w:val="auto"/>
          <w:highlight w:val="none"/>
        </w:rPr>
      </w:pPr>
      <w:r>
        <w:rPr>
          <w:rFonts w:hint="eastAsia" w:ascii="仿宋" w:hAnsi="仿宋" w:eastAsia="仿宋" w:cs="仿宋"/>
          <w:color w:val="auto"/>
          <w:highlight w:val="none"/>
        </w:rPr>
        <w:fldChar w:fldCharType="end"/>
      </w:r>
    </w:p>
    <w:p w14:paraId="233870AC">
      <w:pPr>
        <w:rPr>
          <w:rFonts w:hint="eastAsia" w:ascii="仿宋" w:hAnsi="仿宋" w:eastAsia="仿宋" w:cs="仿宋"/>
          <w:color w:val="auto"/>
          <w:highlight w:val="none"/>
        </w:rPr>
      </w:pPr>
    </w:p>
    <w:p w14:paraId="6D3F19DD">
      <w:pPr>
        <w:rPr>
          <w:rFonts w:hint="eastAsia" w:ascii="仿宋" w:hAnsi="仿宋" w:eastAsia="仿宋" w:cs="仿宋"/>
          <w:color w:val="auto"/>
          <w:highlight w:val="none"/>
        </w:rPr>
      </w:pPr>
    </w:p>
    <w:p w14:paraId="16B89733">
      <w:pPr>
        <w:rPr>
          <w:rFonts w:hint="eastAsia" w:ascii="仿宋" w:hAnsi="仿宋" w:eastAsia="仿宋" w:cs="仿宋"/>
          <w:color w:val="auto"/>
          <w:highlight w:val="none"/>
        </w:rPr>
      </w:pPr>
    </w:p>
    <w:p w14:paraId="01944C73">
      <w:pPr>
        <w:rPr>
          <w:rFonts w:hint="eastAsia" w:ascii="仿宋" w:hAnsi="仿宋" w:eastAsia="仿宋" w:cs="仿宋"/>
          <w:color w:val="auto"/>
          <w:highlight w:val="none"/>
        </w:rPr>
      </w:pPr>
    </w:p>
    <w:p w14:paraId="527B384D">
      <w:pPr>
        <w:rPr>
          <w:rFonts w:hint="eastAsia" w:ascii="仿宋" w:hAnsi="仿宋" w:eastAsia="仿宋" w:cs="仿宋"/>
          <w:color w:val="auto"/>
          <w:highlight w:val="none"/>
        </w:rPr>
      </w:pPr>
    </w:p>
    <w:p w14:paraId="51049FD1">
      <w:pPr>
        <w:rPr>
          <w:rFonts w:hint="eastAsia" w:ascii="仿宋" w:hAnsi="仿宋" w:eastAsia="仿宋" w:cs="仿宋"/>
          <w:color w:val="auto"/>
          <w:highlight w:val="none"/>
        </w:rPr>
      </w:pPr>
    </w:p>
    <w:p w14:paraId="2C61A3BA">
      <w:pPr>
        <w:rPr>
          <w:rFonts w:hint="eastAsia" w:ascii="仿宋" w:hAnsi="仿宋" w:eastAsia="仿宋" w:cs="仿宋"/>
          <w:color w:val="auto"/>
          <w:highlight w:val="none"/>
        </w:rPr>
      </w:pPr>
    </w:p>
    <w:p w14:paraId="4EC9CC41">
      <w:pPr>
        <w:pStyle w:val="2"/>
        <w:numPr>
          <w:ilvl w:val="0"/>
          <w:numId w:val="2"/>
        </w:numPr>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0" w:name="_Toc25256"/>
      <w:bookmarkStart w:id="1" w:name="_Toc21703_WPSOffice_Level1"/>
      <w:r>
        <w:rPr>
          <w:rFonts w:hint="eastAsia" w:ascii="仿宋" w:hAnsi="仿宋" w:eastAsia="仿宋" w:cs="仿宋"/>
          <w:color w:val="auto"/>
          <w:highlight w:val="none"/>
        </w:rPr>
        <w:t>征集公告</w:t>
      </w:r>
      <w:bookmarkEnd w:id="0"/>
    </w:p>
    <w:p w14:paraId="41BEB112">
      <w:pPr>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吉安城投控股集团有限公司</w:t>
      </w:r>
      <w:r>
        <w:rPr>
          <w:rFonts w:hint="eastAsia" w:ascii="仿宋" w:hAnsi="仿宋" w:eastAsia="仿宋" w:cs="仿宋"/>
          <w:color w:val="auto"/>
          <w:szCs w:val="24"/>
          <w:highlight w:val="none"/>
        </w:rPr>
        <w:t>作为本项目征集人，拟对</w:t>
      </w:r>
      <w:r>
        <w:rPr>
          <w:rFonts w:hint="eastAsia" w:ascii="仿宋" w:hAnsi="仿宋" w:eastAsia="仿宋" w:cs="仿宋"/>
          <w:color w:val="auto"/>
          <w:szCs w:val="24"/>
          <w:highlight w:val="none"/>
          <w:lang w:eastAsia="zh-CN"/>
        </w:rPr>
        <w:t>吉安城控集团债券主承销商征集项目</w:t>
      </w:r>
      <w:r>
        <w:rPr>
          <w:rFonts w:hint="eastAsia" w:ascii="仿宋" w:hAnsi="仿宋" w:eastAsia="仿宋" w:cs="仿宋"/>
          <w:color w:val="auto"/>
          <w:szCs w:val="24"/>
          <w:highlight w:val="none"/>
        </w:rPr>
        <w:t>进行框架协议采购，兹邀请符合本次征集要求的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参加征集。</w:t>
      </w:r>
    </w:p>
    <w:p w14:paraId="17F038BE">
      <w:pPr>
        <w:rPr>
          <w:rFonts w:hint="eastAsia" w:ascii="仿宋" w:hAnsi="仿宋" w:eastAsia="仿宋" w:cs="仿宋"/>
          <w:color w:val="auto"/>
          <w:szCs w:val="24"/>
          <w:highlight w:val="none"/>
        </w:rPr>
      </w:pPr>
      <w:bookmarkStart w:id="2" w:name="_Toc35393629"/>
      <w:bookmarkStart w:id="3" w:name="_Toc28359089"/>
      <w:bookmarkStart w:id="4" w:name="_Toc28359012"/>
      <w:bookmarkStart w:id="5" w:name="_Toc35393798"/>
      <w:r>
        <w:rPr>
          <w:rFonts w:hint="eastAsia" w:ascii="仿宋" w:hAnsi="仿宋" w:eastAsia="仿宋" w:cs="仿宋"/>
          <w:b/>
          <w:bCs/>
          <w:color w:val="auto"/>
          <w:szCs w:val="24"/>
          <w:highlight w:val="none"/>
        </w:rPr>
        <w:t>一、项目基本情况</w:t>
      </w:r>
      <w:bookmarkEnd w:id="2"/>
      <w:bookmarkEnd w:id="3"/>
      <w:bookmarkEnd w:id="4"/>
      <w:bookmarkEnd w:id="5"/>
    </w:p>
    <w:p w14:paraId="1435D07D">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1、项目编号：</w:t>
      </w:r>
      <w:r>
        <w:rPr>
          <w:rFonts w:hint="eastAsia" w:ascii="仿宋" w:hAnsi="仿宋" w:eastAsia="仿宋" w:cs="仿宋"/>
          <w:bCs/>
          <w:color w:val="auto"/>
          <w:szCs w:val="24"/>
          <w:highlight w:val="none"/>
          <w:lang w:eastAsia="zh-CN"/>
        </w:rPr>
        <w:t>JACTJL-内采字〔2026〕056号</w:t>
      </w:r>
    </w:p>
    <w:p w14:paraId="37631CAF">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2、项目名称：</w:t>
      </w:r>
      <w:r>
        <w:rPr>
          <w:rFonts w:hint="eastAsia" w:ascii="仿宋" w:hAnsi="仿宋" w:eastAsia="仿宋" w:cs="仿宋"/>
          <w:color w:val="auto"/>
          <w:szCs w:val="24"/>
          <w:highlight w:val="none"/>
          <w:lang w:eastAsia="zh-CN"/>
        </w:rPr>
        <w:t>吉安城控集团债券主承销商征集项目</w:t>
      </w:r>
    </w:p>
    <w:p w14:paraId="422AFCA0">
      <w:pPr>
        <w:rPr>
          <w:rFonts w:hint="default" w:ascii="仿宋" w:hAnsi="仿宋" w:cs="仿宋"/>
          <w:color w:val="auto"/>
          <w:szCs w:val="24"/>
          <w:highlight w:val="none"/>
          <w:lang w:val="en-US" w:eastAsia="zh-CN"/>
        </w:rPr>
      </w:pPr>
      <w:r>
        <w:rPr>
          <w:rFonts w:hint="eastAsia" w:ascii="仿宋" w:hAnsi="仿宋" w:eastAsia="仿宋" w:cs="仿宋"/>
          <w:color w:val="auto"/>
          <w:szCs w:val="24"/>
          <w:highlight w:val="none"/>
        </w:rPr>
        <w:t>3、采购需求：</w:t>
      </w:r>
      <w:r>
        <w:rPr>
          <w:rFonts w:hint="eastAsia" w:ascii="仿宋" w:hAnsi="仿宋" w:cs="仿宋"/>
          <w:color w:val="auto"/>
          <w:szCs w:val="24"/>
          <w:highlight w:val="none"/>
          <w:lang w:val="en-US" w:eastAsia="zh-CN"/>
        </w:rPr>
        <w:t>本项目分A包和B包。供应商自行选择相应包进行响应。</w:t>
      </w:r>
    </w:p>
    <w:p w14:paraId="05235405">
      <w:pPr>
        <w:rPr>
          <w:rFonts w:hint="eastAsia" w:ascii="仿宋" w:hAnsi="仿宋" w:cs="仿宋"/>
          <w:color w:val="auto"/>
          <w:szCs w:val="24"/>
          <w:highlight w:val="none"/>
        </w:rPr>
      </w:pPr>
      <w:r>
        <w:rPr>
          <w:rFonts w:hint="eastAsia" w:ascii="仿宋" w:hAnsi="仿宋" w:cs="仿宋"/>
          <w:color w:val="auto"/>
          <w:szCs w:val="24"/>
          <w:highlight w:val="none"/>
        </w:rPr>
        <w:t>A包（面向证券公司，选取为公司承销公司债、企业债及债务融资工具等债券的主承销商）</w:t>
      </w:r>
    </w:p>
    <w:p w14:paraId="283325B2">
      <w:pPr>
        <w:rPr>
          <w:rFonts w:hint="eastAsia" w:ascii="仿宋" w:hAnsi="仿宋" w:cs="仿宋"/>
          <w:color w:val="auto"/>
          <w:szCs w:val="24"/>
          <w:highlight w:val="none"/>
        </w:rPr>
      </w:pPr>
      <w:r>
        <w:rPr>
          <w:rFonts w:hint="eastAsia" w:ascii="仿宋" w:hAnsi="仿宋" w:cs="仿宋"/>
          <w:color w:val="auto"/>
          <w:szCs w:val="24"/>
          <w:highlight w:val="none"/>
        </w:rPr>
        <w:t>B包（面向银行，选取为公司承销债务融资工具等债券的主承销商）</w:t>
      </w:r>
    </w:p>
    <w:p w14:paraId="57E04F30">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4、采购金额：</w:t>
      </w:r>
      <w:r>
        <w:rPr>
          <w:rFonts w:hint="eastAsia" w:ascii="仿宋" w:hAnsi="仿宋" w:cs="仿宋"/>
          <w:color w:val="auto"/>
          <w:szCs w:val="24"/>
          <w:highlight w:val="none"/>
          <w:lang w:val="en-US" w:eastAsia="zh-CN"/>
        </w:rPr>
        <w:t>供应商报价不得</w:t>
      </w:r>
      <w:r>
        <w:rPr>
          <w:rFonts w:hint="eastAsia" w:ascii="仿宋" w:hAnsi="仿宋" w:eastAsia="仿宋" w:cs="仿宋"/>
          <w:color w:val="auto"/>
          <w:szCs w:val="24"/>
          <w:highlight w:val="none"/>
          <w:lang w:val="en-US" w:eastAsia="zh-CN"/>
        </w:rPr>
        <w:t>高于</w:t>
      </w:r>
      <w:r>
        <w:rPr>
          <w:rFonts w:hint="eastAsia" w:ascii="仿宋" w:hAnsi="仿宋" w:eastAsia="仿宋" w:cs="仿宋"/>
          <w:color w:val="auto"/>
          <w:szCs w:val="24"/>
          <w:highlight w:val="none"/>
          <w:lang w:eastAsia="zh-CN"/>
        </w:rPr>
        <w:t>0.8‰</w:t>
      </w:r>
      <w:r>
        <w:rPr>
          <w:rFonts w:hint="eastAsia" w:ascii="仿宋" w:hAnsi="仿宋" w:eastAsia="仿宋" w:cs="仿宋"/>
          <w:color w:val="auto"/>
          <w:szCs w:val="24"/>
          <w:highlight w:val="none"/>
          <w:lang w:val="en-US" w:eastAsia="zh-CN"/>
        </w:rPr>
        <w:t>/年</w:t>
      </w:r>
      <w:r>
        <w:rPr>
          <w:rFonts w:hint="eastAsia" w:ascii="仿宋" w:hAnsi="仿宋" w:cs="仿宋"/>
          <w:color w:val="auto"/>
          <w:szCs w:val="24"/>
          <w:highlight w:val="none"/>
          <w:lang w:val="en-US" w:eastAsia="zh-CN"/>
        </w:rPr>
        <w:t>（费率报价）</w:t>
      </w:r>
    </w:p>
    <w:p w14:paraId="65AD9F39">
      <w:pPr>
        <w:rPr>
          <w:rStyle w:val="80"/>
          <w:rFonts w:hint="eastAsia" w:ascii="仿宋" w:hAnsi="仿宋" w:eastAsia="仿宋" w:cs="仿宋"/>
          <w:color w:val="auto"/>
          <w:sz w:val="24"/>
          <w:szCs w:val="24"/>
          <w:highlight w:val="none"/>
          <w:lang w:eastAsia="zh-CN"/>
        </w:rPr>
      </w:pPr>
      <w:r>
        <w:rPr>
          <w:rFonts w:hint="eastAsia" w:ascii="仿宋" w:hAnsi="仿宋" w:eastAsia="仿宋" w:cs="仿宋"/>
          <w:color w:val="auto"/>
          <w:szCs w:val="24"/>
          <w:highlight w:val="none"/>
          <w:lang w:val="en-US" w:eastAsia="zh-CN"/>
        </w:rPr>
        <w:t>5</w:t>
      </w:r>
      <w:r>
        <w:rPr>
          <w:rFonts w:hint="eastAsia" w:ascii="仿宋" w:hAnsi="仿宋" w:eastAsia="仿宋" w:cs="仿宋"/>
          <w:color w:val="auto"/>
          <w:szCs w:val="24"/>
          <w:highlight w:val="none"/>
        </w:rPr>
        <w:t>、框架协议期限：本次服务期限自采购合同签订之日起</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年</w:t>
      </w:r>
    </w:p>
    <w:p w14:paraId="4BC2EC63">
      <w:pPr>
        <w:pStyle w:val="9"/>
        <w:ind w:left="0" w:leftChars="0" w:firstLine="0" w:firstLineChars="0"/>
        <w:rPr>
          <w:rStyle w:val="24"/>
          <w:rFonts w:hint="eastAsia" w:ascii="仿宋" w:hAnsi="仿宋" w:eastAsia="仿宋" w:cs="仿宋"/>
          <w:color w:val="auto"/>
          <w:sz w:val="24"/>
          <w:szCs w:val="24"/>
          <w:highlight w:val="none"/>
          <w:lang w:val="en-US" w:eastAsia="zh-CN"/>
        </w:rPr>
      </w:pPr>
      <w:r>
        <w:rPr>
          <w:rFonts w:hint="eastAsia" w:ascii="仿宋" w:hAnsi="仿宋" w:eastAsia="仿宋" w:cs="仿宋"/>
          <w:color w:val="auto"/>
          <w:szCs w:val="24"/>
          <w:highlight w:val="none"/>
          <w:lang w:val="en-US" w:eastAsia="zh-CN"/>
        </w:rPr>
        <w:t>6、入围服务商数量上限：本次共计征集合格服务商A包15家 B包15家</w:t>
      </w:r>
    </w:p>
    <w:p w14:paraId="57D55218">
      <w:pPr>
        <w:rPr>
          <w:rFonts w:hint="eastAsia" w:ascii="仿宋" w:hAnsi="仿宋" w:eastAsia="仿宋" w:cs="仿宋"/>
          <w:color w:val="auto"/>
          <w:highlight w:val="none"/>
        </w:rPr>
      </w:pPr>
      <w:r>
        <w:rPr>
          <w:rFonts w:hint="eastAsia" w:ascii="仿宋" w:hAnsi="仿宋" w:eastAsia="仿宋" w:cs="仿宋"/>
          <w:color w:val="auto"/>
          <w:szCs w:val="24"/>
          <w:highlight w:val="none"/>
          <w:lang w:val="en-US" w:eastAsia="zh-CN"/>
        </w:rPr>
        <w:t>7</w:t>
      </w:r>
      <w:r>
        <w:rPr>
          <w:rFonts w:hint="eastAsia" w:ascii="仿宋" w:hAnsi="仿宋" w:eastAsia="仿宋" w:cs="仿宋"/>
          <w:color w:val="auto"/>
          <w:szCs w:val="24"/>
          <w:highlight w:val="none"/>
        </w:rPr>
        <w:t>、本项目不接受联合体投标</w:t>
      </w:r>
    </w:p>
    <w:p w14:paraId="45F3EBD4">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二、</w:t>
      </w:r>
      <w:r>
        <w:rPr>
          <w:rFonts w:hint="eastAsia" w:ascii="仿宋" w:hAnsi="仿宋" w:eastAsia="仿宋" w:cs="仿宋"/>
          <w:b/>
          <w:bCs/>
          <w:color w:val="auto"/>
          <w:szCs w:val="24"/>
          <w:highlight w:val="none"/>
          <w:lang w:eastAsia="zh-CN"/>
        </w:rPr>
        <w:t>服务商</w:t>
      </w:r>
      <w:r>
        <w:rPr>
          <w:rFonts w:hint="eastAsia" w:ascii="仿宋" w:hAnsi="仿宋" w:eastAsia="仿宋" w:cs="仿宋"/>
          <w:b/>
          <w:bCs/>
          <w:color w:val="auto"/>
          <w:szCs w:val="24"/>
          <w:highlight w:val="none"/>
        </w:rPr>
        <w:t>的资格要求</w:t>
      </w:r>
    </w:p>
    <w:p w14:paraId="75E67FA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1、满足《</w:t>
      </w:r>
      <w:r>
        <w:rPr>
          <w:rFonts w:hint="eastAsia" w:ascii="仿宋" w:hAnsi="仿宋" w:eastAsia="仿宋" w:cs="仿宋"/>
          <w:color w:val="auto"/>
          <w:szCs w:val="24"/>
          <w:highlight w:val="none"/>
          <w:lang w:eastAsia="zh-CN"/>
        </w:rPr>
        <w:t>中华人民共和国政府采购法</w:t>
      </w:r>
      <w:r>
        <w:rPr>
          <w:rFonts w:hint="eastAsia" w:ascii="仿宋" w:hAnsi="仿宋" w:eastAsia="仿宋" w:cs="仿宋"/>
          <w:color w:val="auto"/>
          <w:szCs w:val="24"/>
          <w:highlight w:val="none"/>
        </w:rPr>
        <w:t>》第二十二条规定：</w:t>
      </w:r>
    </w:p>
    <w:p w14:paraId="19176E9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（1）具有独立承担民事责任的能力；</w:t>
      </w:r>
    </w:p>
    <w:p w14:paraId="01442E8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（2）具有良好的商业信誉和健全的财务会计制度；</w:t>
      </w:r>
    </w:p>
    <w:p w14:paraId="6314A1E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（3）具有履行合同所必需的设备和专业技术能力；</w:t>
      </w:r>
    </w:p>
    <w:p w14:paraId="064617F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（4）有依法缴纳税收和社会保障资金的良好记录；</w:t>
      </w:r>
    </w:p>
    <w:p w14:paraId="1A9FE7B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w:t>
      </w:r>
      <w:r>
        <w:rPr>
          <w:rFonts w:hint="eastAsia" w:ascii="仿宋" w:hAnsi="仿宋" w:eastAsia="仿宋" w:cs="仿宋"/>
          <w:bCs/>
          <w:color w:val="auto"/>
          <w:szCs w:val="24"/>
          <w:highlight w:val="none"/>
        </w:rPr>
        <w:t>参加</w:t>
      </w:r>
      <w:r>
        <w:rPr>
          <w:rFonts w:hint="eastAsia" w:ascii="仿宋" w:hAnsi="仿宋" w:eastAsia="仿宋" w:cs="仿宋"/>
          <w:color w:val="auto"/>
          <w:szCs w:val="21"/>
          <w:highlight w:val="none"/>
        </w:rPr>
        <w:t>本次采购活动</w:t>
      </w:r>
      <w:r>
        <w:rPr>
          <w:rFonts w:hint="eastAsia" w:ascii="仿宋" w:hAnsi="仿宋" w:eastAsia="仿宋" w:cs="仿宋"/>
          <w:bCs/>
          <w:color w:val="auto"/>
          <w:szCs w:val="24"/>
          <w:highlight w:val="none"/>
        </w:rPr>
        <w:t>前三年内，在经营活动中没有重大违法记录</w:t>
      </w:r>
      <w:r>
        <w:rPr>
          <w:rFonts w:hint="eastAsia" w:ascii="仿宋" w:hAnsi="仿宋" w:eastAsia="仿宋" w:cs="仿宋"/>
          <w:color w:val="auto"/>
          <w:szCs w:val="24"/>
          <w:highlight w:val="none"/>
        </w:rPr>
        <w:t>；</w:t>
      </w:r>
    </w:p>
    <w:p w14:paraId="5DAC90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（6）法律、行政法规规定的其他条件及其他资格要求。</w:t>
      </w:r>
    </w:p>
    <w:p w14:paraId="28CC0D4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2、单位负责人为同一人或者存在直接控股、管理关系的不同</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，不得参加同一合同项下的采购活动。</w:t>
      </w:r>
    </w:p>
    <w:p w14:paraId="657385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3、通过“信用中国”或“</w:t>
      </w:r>
      <w:r>
        <w:rPr>
          <w:rFonts w:hint="eastAsia" w:ascii="仿宋" w:hAnsi="仿宋" w:eastAsia="仿宋" w:cs="仿宋"/>
          <w:color w:val="auto"/>
          <w:szCs w:val="24"/>
          <w:highlight w:val="none"/>
          <w:lang w:eastAsia="zh-CN"/>
        </w:rPr>
        <w:t>中国政府采购网</w:t>
      </w:r>
      <w:r>
        <w:rPr>
          <w:rFonts w:hint="eastAsia" w:ascii="仿宋" w:hAnsi="仿宋" w:eastAsia="仿宋" w:cs="仿宋"/>
          <w:color w:val="auto"/>
          <w:szCs w:val="24"/>
          <w:highlight w:val="none"/>
        </w:rPr>
        <w:t>”查询相关主体信用记录，被列入失信被执行人、重大税收违法失信主体、采购严重违法失信行为记录名单的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（处罚期限尚未届满的），不得参与本项目的采购活动。</w:t>
      </w:r>
    </w:p>
    <w:p w14:paraId="0E91122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被吉安市城市建设投资开发有限公司列为“黑名单”的，在处罚期内不得参与本项目的采购活动。</w:t>
      </w:r>
    </w:p>
    <w:p w14:paraId="3BD25DBE">
      <w:pPr>
        <w:rPr>
          <w:rFonts w:hint="eastAsia" w:ascii="仿宋" w:hAnsi="仿宋" w:eastAsia="仿宋" w:cs="仿宋"/>
          <w:b/>
          <w:bCs/>
          <w:color w:val="auto"/>
          <w:szCs w:val="24"/>
          <w:highlight w:val="none"/>
        </w:rPr>
      </w:pPr>
      <w:bookmarkStart w:id="6" w:name="_Toc35393631"/>
      <w:bookmarkStart w:id="7" w:name="_Toc35393800"/>
      <w:r>
        <w:rPr>
          <w:rFonts w:hint="eastAsia" w:ascii="仿宋" w:hAnsi="仿宋" w:eastAsia="仿宋" w:cs="仿宋"/>
          <w:b/>
          <w:bCs/>
          <w:color w:val="auto"/>
          <w:szCs w:val="24"/>
          <w:highlight w:val="none"/>
        </w:rPr>
        <w:t>三、获取征集文件</w:t>
      </w:r>
      <w:bookmarkEnd w:id="6"/>
      <w:bookmarkEnd w:id="7"/>
    </w:p>
    <w:p w14:paraId="6041443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eastAsia="仿宋" w:cs="仿宋"/>
          <w:color w:val="auto"/>
          <w:szCs w:val="24"/>
          <w:highlight w:val="none"/>
          <w:lang w:val="en-US" w:eastAsia="zh-CN"/>
        </w:rPr>
        <w:t>7</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17</w:t>
      </w:r>
      <w:r>
        <w:rPr>
          <w:rFonts w:hint="eastAsia" w:ascii="仿宋" w:hAnsi="仿宋" w:eastAsia="仿宋" w:cs="仿宋"/>
          <w:color w:val="auto"/>
          <w:szCs w:val="24"/>
          <w:highlight w:val="none"/>
          <w:lang w:eastAsia="zh-CN"/>
        </w:rPr>
        <w:t>日至202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cs="仿宋"/>
          <w:color w:val="auto"/>
          <w:szCs w:val="24"/>
          <w:highlight w:val="none"/>
          <w:lang w:val="en-US" w:eastAsia="zh-CN"/>
        </w:rPr>
        <w:t>8</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6</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前（北京时间）</w:t>
      </w:r>
    </w:p>
    <w:p w14:paraId="16E87B2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地点：吉安市城市建设投资开发有限公司官网（http://www.jactgs.com）</w:t>
      </w:r>
    </w:p>
    <w:p w14:paraId="38EB315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方式：网上下载</w:t>
      </w:r>
    </w:p>
    <w:p w14:paraId="3431BEAB">
      <w:pPr>
        <w:rPr>
          <w:rFonts w:hint="eastAsia" w:ascii="仿宋" w:hAnsi="仿宋" w:eastAsia="仿宋" w:cs="仿宋"/>
          <w:color w:val="auto"/>
          <w:highlight w:val="none"/>
        </w:rPr>
      </w:pPr>
      <w:r>
        <w:rPr>
          <w:rFonts w:hint="eastAsia" w:ascii="仿宋" w:hAnsi="仿宋" w:eastAsia="仿宋" w:cs="仿宋"/>
          <w:color w:val="auto"/>
          <w:szCs w:val="24"/>
          <w:highlight w:val="none"/>
        </w:rPr>
        <w:t>售价：0.00元</w:t>
      </w:r>
    </w:p>
    <w:p w14:paraId="1B90135D">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四、响应文件提交</w:t>
      </w:r>
    </w:p>
    <w:p w14:paraId="255D5195">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截止时间：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8</w:t>
      </w:r>
      <w:r>
        <w:rPr>
          <w:rFonts w:hint="eastAsia" w:ascii="仿宋" w:hAnsi="仿宋" w:eastAsia="仿宋" w:cs="仿宋"/>
          <w:color w:val="auto"/>
          <w:szCs w:val="24"/>
          <w:highlight w:val="none"/>
          <w:lang w:eastAsia="zh-CN"/>
        </w:rPr>
        <w:t>月</w:t>
      </w:r>
      <w:r>
        <w:rPr>
          <w:rFonts w:hint="eastAsia" w:ascii="仿宋" w:hAnsi="仿宋" w:cs="仿宋"/>
          <w:color w:val="auto"/>
          <w:szCs w:val="24"/>
          <w:highlight w:val="none"/>
          <w:lang w:val="en-US" w:eastAsia="zh-CN"/>
        </w:rPr>
        <w:t>7</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9：30</w:t>
      </w:r>
      <w:r>
        <w:rPr>
          <w:rFonts w:hint="eastAsia" w:ascii="仿宋" w:hAnsi="仿宋" w:eastAsia="仿宋" w:cs="仿宋"/>
          <w:bCs/>
          <w:color w:val="auto"/>
          <w:szCs w:val="24"/>
          <w:highlight w:val="none"/>
        </w:rPr>
        <w:t>（北京时间）</w:t>
      </w:r>
    </w:p>
    <w:p w14:paraId="4BCE0B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w:t>
      </w:r>
      <w:bookmarkStart w:id="8" w:name="_Toc28359016"/>
      <w:bookmarkStart w:id="9" w:name="_Toc35393633"/>
      <w:bookmarkStart w:id="10" w:name="_Toc35393802"/>
      <w:bookmarkStart w:id="11" w:name="_Toc28359093"/>
      <w:r>
        <w:rPr>
          <w:rFonts w:hint="eastAsia" w:ascii="仿宋" w:hAnsi="仿宋" w:eastAsia="仿宋" w:cs="仿宋"/>
          <w:color w:val="auto"/>
          <w:szCs w:val="24"/>
          <w:highlight w:val="none"/>
        </w:rPr>
        <w:t>江西省吉安市高铁新区五指峰总部经济大楼520室</w:t>
      </w:r>
    </w:p>
    <w:p w14:paraId="0E51210E">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五、开启</w:t>
      </w:r>
      <w:bookmarkEnd w:id="8"/>
      <w:bookmarkEnd w:id="9"/>
      <w:bookmarkEnd w:id="10"/>
      <w:bookmarkEnd w:id="11"/>
    </w:p>
    <w:p w14:paraId="5C9C4FB8">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szCs w:val="24"/>
          <w:highlight w:val="none"/>
          <w:lang w:eastAsia="zh-CN"/>
        </w:rPr>
        <w:t>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lang w:eastAsia="zh-CN"/>
        </w:rPr>
        <w:t>年</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8</w:t>
      </w:r>
      <w:r>
        <w:rPr>
          <w:rFonts w:hint="eastAsia" w:ascii="仿宋" w:hAnsi="仿宋" w:eastAsia="仿宋" w:cs="仿宋"/>
          <w:color w:val="auto"/>
          <w:szCs w:val="24"/>
          <w:highlight w:val="none"/>
          <w:lang w:eastAsia="zh-CN"/>
        </w:rPr>
        <w:t>月</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7</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9：30</w:t>
      </w:r>
      <w:r>
        <w:rPr>
          <w:rFonts w:hint="eastAsia" w:ascii="仿宋" w:hAnsi="仿宋" w:eastAsia="仿宋" w:cs="仿宋"/>
          <w:bCs/>
          <w:color w:val="auto"/>
          <w:szCs w:val="24"/>
          <w:highlight w:val="none"/>
        </w:rPr>
        <w:t>（北京时间）</w:t>
      </w:r>
    </w:p>
    <w:p w14:paraId="026206C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地点：江西省吉安市高铁新区五指峰总部经济大楼520室</w:t>
      </w:r>
    </w:p>
    <w:p w14:paraId="534E02DE">
      <w:pPr>
        <w:rPr>
          <w:rFonts w:hint="eastAsia" w:ascii="仿宋" w:hAnsi="仿宋" w:eastAsia="仿宋" w:cs="仿宋"/>
          <w:b/>
          <w:bCs/>
          <w:color w:val="auto"/>
          <w:szCs w:val="24"/>
          <w:highlight w:val="none"/>
        </w:rPr>
      </w:pPr>
      <w:bookmarkStart w:id="12" w:name="_Toc35393803"/>
      <w:bookmarkStart w:id="13" w:name="_Toc35393634"/>
      <w:bookmarkStart w:id="14" w:name="_Toc28359017"/>
      <w:bookmarkStart w:id="15" w:name="_Toc28359094"/>
      <w:r>
        <w:rPr>
          <w:rFonts w:hint="eastAsia" w:ascii="仿宋" w:hAnsi="仿宋" w:eastAsia="仿宋" w:cs="仿宋"/>
          <w:b/>
          <w:bCs/>
          <w:color w:val="auto"/>
          <w:szCs w:val="24"/>
          <w:highlight w:val="none"/>
        </w:rPr>
        <w:t>六、公告期限</w:t>
      </w:r>
      <w:bookmarkEnd w:id="12"/>
      <w:bookmarkEnd w:id="13"/>
      <w:bookmarkEnd w:id="14"/>
      <w:bookmarkEnd w:id="15"/>
    </w:p>
    <w:p w14:paraId="5DFC4D0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自本公告发布之日起5个工作日。</w:t>
      </w:r>
    </w:p>
    <w:p w14:paraId="29A26A52">
      <w:pPr>
        <w:rPr>
          <w:rFonts w:hint="eastAsia" w:ascii="仿宋" w:hAnsi="仿宋" w:eastAsia="仿宋" w:cs="仿宋"/>
          <w:b/>
          <w:bCs/>
          <w:color w:val="auto"/>
          <w:szCs w:val="24"/>
          <w:highlight w:val="none"/>
        </w:rPr>
      </w:pPr>
      <w:bookmarkStart w:id="16" w:name="_Toc35393804"/>
      <w:bookmarkStart w:id="17" w:name="_Toc35393635"/>
      <w:r>
        <w:rPr>
          <w:rFonts w:hint="eastAsia" w:ascii="仿宋" w:hAnsi="仿宋" w:eastAsia="仿宋" w:cs="仿宋"/>
          <w:b/>
          <w:bCs/>
          <w:color w:val="auto"/>
          <w:szCs w:val="24"/>
          <w:highlight w:val="none"/>
        </w:rPr>
        <w:t>七、其他补充事宜</w:t>
      </w:r>
      <w:bookmarkEnd w:id="16"/>
      <w:bookmarkEnd w:id="17"/>
    </w:p>
    <w:p w14:paraId="36A66DF6">
      <w:pPr>
        <w:rPr>
          <w:rFonts w:hint="eastAsia" w:ascii="仿宋" w:hAnsi="仿宋" w:eastAsia="仿宋" w:cs="仿宋"/>
          <w:color w:val="auto"/>
          <w:szCs w:val="24"/>
          <w:highlight w:val="none"/>
        </w:rPr>
      </w:pPr>
      <w:bookmarkStart w:id="18" w:name="_Toc28359095"/>
      <w:bookmarkStart w:id="19" w:name="_Toc28359018"/>
      <w:bookmarkStart w:id="20" w:name="_Toc35393805"/>
      <w:bookmarkStart w:id="21" w:name="_Toc35393636"/>
      <w:r>
        <w:rPr>
          <w:rFonts w:hint="eastAsia" w:ascii="仿宋" w:hAnsi="仿宋" w:eastAsia="仿宋" w:cs="仿宋"/>
          <w:color w:val="auto"/>
          <w:szCs w:val="24"/>
          <w:highlight w:val="none"/>
        </w:rPr>
        <w:t>1.响应文件制作的要求</w:t>
      </w:r>
    </w:p>
    <w:p w14:paraId="4B3F5607">
      <w:pPr>
        <w:rPr>
          <w:rFonts w:hint="eastAsia" w:ascii="仿宋" w:hAnsi="仿宋" w:eastAsia="仿宋" w:cs="仿宋"/>
          <w:color w:val="auto"/>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文件并密封完整（1份正本、1份副本），</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文件的正本与副本如有不一致之处，以正本为准。</w:t>
      </w:r>
    </w:p>
    <w:p w14:paraId="28BC7869">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八、凡对本次采购提出询问，请按以下方式联系。</w:t>
      </w:r>
      <w:bookmarkEnd w:id="18"/>
      <w:bookmarkEnd w:id="19"/>
      <w:bookmarkEnd w:id="20"/>
      <w:bookmarkEnd w:id="21"/>
    </w:p>
    <w:p w14:paraId="5485FA89">
      <w:pPr>
        <w:rPr>
          <w:rFonts w:hint="eastAsia" w:ascii="仿宋" w:hAnsi="仿宋" w:eastAsia="仿宋" w:cs="仿宋"/>
          <w:color w:val="auto"/>
          <w:szCs w:val="24"/>
          <w:highlight w:val="none"/>
        </w:rPr>
      </w:pPr>
      <w:bookmarkStart w:id="22" w:name="_Toc28359097"/>
      <w:bookmarkStart w:id="23" w:name="_Toc35393638"/>
      <w:bookmarkStart w:id="24" w:name="_Toc35393807"/>
      <w:bookmarkStart w:id="25" w:name="_Toc28359020"/>
      <w:r>
        <w:rPr>
          <w:rFonts w:hint="eastAsia" w:ascii="仿宋" w:hAnsi="仿宋" w:eastAsia="仿宋" w:cs="仿宋"/>
          <w:color w:val="auto"/>
          <w:szCs w:val="24"/>
          <w:highlight w:val="none"/>
        </w:rPr>
        <w:t>1、采购人信息</w:t>
      </w:r>
    </w:p>
    <w:p w14:paraId="281629FD">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采购单位：</w:t>
      </w:r>
      <w:r>
        <w:rPr>
          <w:rFonts w:hint="eastAsia" w:ascii="仿宋" w:hAnsi="仿宋" w:eastAsia="仿宋" w:cs="仿宋"/>
          <w:color w:val="auto"/>
          <w:szCs w:val="24"/>
          <w:highlight w:val="none"/>
          <w:lang w:eastAsia="zh-CN"/>
        </w:rPr>
        <w:t>吉安城投控股集团有限公司</w:t>
      </w:r>
    </w:p>
    <w:p w14:paraId="55751B3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采购单位地址：江西省吉安市北京路 18 号吉安市经济发展总部大楼　</w:t>
      </w:r>
    </w:p>
    <w:p w14:paraId="1AD073EB">
      <w:pP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采购单位联系人：钟女士</w:t>
      </w:r>
      <w:r>
        <w:rPr>
          <w:rFonts w:hint="eastAsia" w:ascii="仿宋" w:hAnsi="仿宋" w:eastAsia="仿宋" w:cs="仿宋"/>
          <w:color w:val="auto"/>
          <w:szCs w:val="24"/>
          <w:highlight w:val="none"/>
          <w:lang w:val="en-US" w:eastAsia="zh-CN"/>
        </w:rPr>
        <w:t xml:space="preserve"> </w:t>
      </w:r>
      <w:r>
        <w:rPr>
          <w:rFonts w:hint="eastAsia" w:ascii="仿宋" w:hAnsi="仿宋" w:cs="仿宋"/>
          <w:color w:val="auto"/>
          <w:szCs w:val="24"/>
          <w:highlight w:val="none"/>
          <w:lang w:val="en-US" w:eastAsia="zh-CN"/>
        </w:rPr>
        <w:t>0796-8935309</w:t>
      </w:r>
    </w:p>
    <w:p w14:paraId="452721F4">
      <w:pP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 xml:space="preserve">  </w:t>
      </w:r>
    </w:p>
    <w:p w14:paraId="5107DB5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2、采购代理机构信息</w:t>
      </w:r>
      <w:bookmarkEnd w:id="22"/>
      <w:bookmarkEnd w:id="23"/>
      <w:bookmarkEnd w:id="24"/>
      <w:bookmarkEnd w:id="25"/>
    </w:p>
    <w:p w14:paraId="6955D37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采购代理机构：吉安城投建设监理有限公司</w:t>
      </w:r>
    </w:p>
    <w:p w14:paraId="309C4FF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采购代理机构地址：</w:t>
      </w:r>
      <w:bookmarkStart w:id="26" w:name="_Toc35393808"/>
      <w:bookmarkStart w:id="27" w:name="_Toc28359021"/>
      <w:bookmarkStart w:id="28" w:name="_Toc35393639"/>
      <w:bookmarkStart w:id="29" w:name="_Toc28359098"/>
      <w:r>
        <w:rPr>
          <w:rFonts w:hint="eastAsia" w:ascii="仿宋" w:hAnsi="仿宋" w:eastAsia="仿宋" w:cs="仿宋"/>
          <w:color w:val="auto"/>
          <w:szCs w:val="24"/>
          <w:highlight w:val="none"/>
        </w:rPr>
        <w:t>江西省吉安市高铁新区五指峰吉安市总部经济大厦515室</w:t>
      </w:r>
    </w:p>
    <w:p w14:paraId="4CF1371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采购代理机构联系人：</w:t>
      </w:r>
      <w:bookmarkEnd w:id="26"/>
      <w:bookmarkEnd w:id="27"/>
      <w:bookmarkEnd w:id="28"/>
      <w:bookmarkEnd w:id="29"/>
      <w:r>
        <w:rPr>
          <w:rFonts w:hint="eastAsia" w:ascii="仿宋" w:hAnsi="仿宋" w:eastAsia="仿宋" w:cs="仿宋"/>
          <w:color w:val="auto"/>
          <w:szCs w:val="24"/>
          <w:highlight w:val="none"/>
          <w:lang w:val="en-US" w:eastAsia="zh-CN"/>
        </w:rPr>
        <w:t>周先生</w:t>
      </w:r>
      <w:r>
        <w:rPr>
          <w:rFonts w:hint="eastAsia" w:ascii="仿宋" w:hAnsi="仿宋" w:eastAsia="仿宋" w:cs="仿宋"/>
          <w:color w:val="auto"/>
          <w:szCs w:val="24"/>
          <w:highlight w:val="none"/>
        </w:rPr>
        <w:t xml:space="preserve"> 0796-8221186</w:t>
      </w:r>
    </w:p>
    <w:p w14:paraId="13095E1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电子邮箱：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"mailto:3541362489@qq.com" </w:instrText>
      </w:r>
      <w:r>
        <w:rPr>
          <w:rFonts w:hint="eastAsia" w:ascii="仿宋" w:hAnsi="仿宋" w:eastAsia="仿宋" w:cs="仿宋"/>
          <w:color w:val="auto"/>
          <w:highlight w:val="none"/>
        </w:rPr>
        <w:fldChar w:fldCharType="separate"/>
      </w:r>
      <w:r>
        <w:rPr>
          <w:rFonts w:hint="eastAsia" w:ascii="仿宋" w:hAnsi="仿宋" w:eastAsia="仿宋" w:cs="仿宋"/>
          <w:color w:val="auto"/>
          <w:szCs w:val="24"/>
          <w:highlight w:val="none"/>
        </w:rPr>
        <w:t>jactjl_shichangbu@163.com</w:t>
      </w:r>
      <w:r>
        <w:rPr>
          <w:rFonts w:hint="eastAsia" w:ascii="仿宋" w:hAnsi="仿宋" w:eastAsia="仿宋" w:cs="仿宋"/>
          <w:color w:val="auto"/>
          <w:szCs w:val="24"/>
          <w:highlight w:val="none"/>
        </w:rPr>
        <w:fldChar w:fldCharType="end"/>
      </w:r>
    </w:p>
    <w:p w14:paraId="354F240C">
      <w:pPr>
        <w:pStyle w:val="9"/>
        <w:rPr>
          <w:rFonts w:hint="eastAsia" w:ascii="仿宋" w:hAnsi="仿宋" w:eastAsia="仿宋" w:cs="仿宋"/>
          <w:color w:val="auto"/>
          <w:highlight w:val="none"/>
        </w:rPr>
      </w:pPr>
    </w:p>
    <w:p w14:paraId="56D2755D">
      <w:pPr>
        <w:pStyle w:val="42"/>
        <w:spacing w:line="440" w:lineRule="exact"/>
        <w:ind w:left="0" w:leftChars="0" w:firstLine="498"/>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1852C9C7">
      <w:pPr>
        <w:pStyle w:val="2"/>
        <w:numPr>
          <w:ilvl w:val="0"/>
          <w:numId w:val="2"/>
        </w:numPr>
        <w:rPr>
          <w:rFonts w:hint="eastAsia" w:ascii="仿宋" w:hAnsi="仿宋" w:eastAsia="仿宋" w:cs="仿宋"/>
          <w:color w:val="auto"/>
          <w:highlight w:val="none"/>
        </w:rPr>
      </w:pPr>
      <w:bookmarkStart w:id="30" w:name="_Toc30852"/>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须知</w:t>
      </w:r>
      <w:bookmarkEnd w:id="30"/>
    </w:p>
    <w:p w14:paraId="3F73BC64">
      <w:pPr>
        <w:spacing w:line="534" w:lineRule="exact"/>
        <w:ind w:right="40"/>
        <w:jc w:val="center"/>
        <w:rPr>
          <w:rFonts w:hint="eastAsia" w:ascii="仿宋" w:hAnsi="仿宋" w:eastAsia="仿宋" w:cs="仿宋"/>
          <w:color w:val="auto"/>
          <w:highlight w:val="none"/>
        </w:rPr>
      </w:pPr>
      <w:r>
        <w:rPr>
          <w:rFonts w:hint="eastAsia" w:ascii="仿宋" w:hAnsi="仿宋" w:eastAsia="仿宋" w:cs="仿宋"/>
          <w:b/>
          <w:bCs/>
          <w:color w:val="auto"/>
          <w:sz w:val="28"/>
          <w:szCs w:val="28"/>
          <w:highlight w:val="none"/>
        </w:rPr>
        <w:t>2.1</w:t>
      </w:r>
      <w:r>
        <w:rPr>
          <w:rFonts w:hint="eastAsia" w:ascii="仿宋" w:hAnsi="仿宋" w:eastAsia="仿宋" w:cs="仿宋"/>
          <w:b/>
          <w:bCs/>
          <w:color w:val="auto"/>
          <w:sz w:val="28"/>
          <w:szCs w:val="28"/>
          <w:highlight w:val="none"/>
          <w:lang w:eastAsia="zh-CN"/>
        </w:rPr>
        <w:t>服务商</w:t>
      </w:r>
      <w:r>
        <w:rPr>
          <w:rFonts w:hint="eastAsia" w:ascii="仿宋" w:hAnsi="仿宋" w:eastAsia="仿宋" w:cs="仿宋"/>
          <w:b/>
          <w:bCs/>
          <w:color w:val="auto"/>
          <w:sz w:val="28"/>
          <w:szCs w:val="28"/>
          <w:highlight w:val="none"/>
        </w:rPr>
        <w:t>须知前附页表</w:t>
      </w:r>
    </w:p>
    <w:tbl>
      <w:tblPr>
        <w:tblStyle w:val="22"/>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545"/>
        <w:gridCol w:w="7333"/>
      </w:tblGrid>
      <w:tr w14:paraId="1BDC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0157A9CC">
            <w:pPr>
              <w:wordWrap w:val="0"/>
              <w:jc w:val="center"/>
              <w:rPr>
                <w:rFonts w:hint="eastAsia" w:ascii="仿宋" w:hAnsi="仿宋" w:eastAsia="仿宋" w:cs="仿宋"/>
                <w:bCs/>
                <w:color w:val="auto"/>
                <w:szCs w:val="24"/>
                <w:highlight w:val="none"/>
              </w:rPr>
            </w:pPr>
            <w:r>
              <w:rPr>
                <w:rFonts w:hint="eastAsia" w:ascii="仿宋" w:hAnsi="仿宋" w:eastAsia="仿宋" w:cs="仿宋"/>
                <w:b/>
                <w:color w:val="auto"/>
                <w:szCs w:val="24"/>
                <w:highlight w:val="none"/>
              </w:rPr>
              <w:t>序号</w:t>
            </w:r>
          </w:p>
        </w:tc>
        <w:tc>
          <w:tcPr>
            <w:tcW w:w="1545" w:type="dxa"/>
            <w:tcBorders>
              <w:top w:val="single" w:color="auto" w:sz="4" w:space="0"/>
              <w:left w:val="single" w:color="auto" w:sz="4" w:space="0"/>
              <w:bottom w:val="single" w:color="auto" w:sz="4" w:space="0"/>
              <w:right w:val="single" w:color="auto" w:sz="4" w:space="0"/>
            </w:tcBorders>
            <w:noWrap/>
            <w:vAlign w:val="center"/>
          </w:tcPr>
          <w:p w14:paraId="5F43EBFD">
            <w:pPr>
              <w:wordWrap w:val="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节点名称</w:t>
            </w:r>
          </w:p>
        </w:tc>
        <w:tc>
          <w:tcPr>
            <w:tcW w:w="7333" w:type="dxa"/>
            <w:tcBorders>
              <w:top w:val="single" w:color="auto" w:sz="4" w:space="0"/>
              <w:left w:val="single" w:color="auto" w:sz="4" w:space="0"/>
              <w:bottom w:val="single" w:color="auto" w:sz="4" w:space="0"/>
              <w:right w:val="single" w:color="auto" w:sz="4" w:space="0"/>
            </w:tcBorders>
            <w:noWrap/>
            <w:vAlign w:val="center"/>
          </w:tcPr>
          <w:p w14:paraId="1404828E">
            <w:pPr>
              <w:wordWrap w:val="0"/>
              <w:jc w:val="center"/>
              <w:rPr>
                <w:rFonts w:hint="eastAsia" w:ascii="仿宋" w:hAnsi="仿宋" w:eastAsia="仿宋" w:cs="仿宋"/>
                <w:bCs/>
                <w:color w:val="auto"/>
                <w:szCs w:val="24"/>
                <w:highlight w:val="none"/>
              </w:rPr>
            </w:pPr>
            <w:r>
              <w:rPr>
                <w:rFonts w:hint="eastAsia" w:ascii="仿宋" w:hAnsi="仿宋" w:eastAsia="仿宋" w:cs="仿宋"/>
                <w:b/>
                <w:color w:val="auto"/>
                <w:szCs w:val="24"/>
                <w:highlight w:val="none"/>
              </w:rPr>
              <w:t>内容</w:t>
            </w:r>
          </w:p>
        </w:tc>
      </w:tr>
      <w:tr w14:paraId="7E06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61D8A855">
            <w:pPr>
              <w:wordWrap w:val="0"/>
              <w:jc w:val="center"/>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p>
        </w:tc>
        <w:tc>
          <w:tcPr>
            <w:tcW w:w="1545" w:type="dxa"/>
            <w:tcBorders>
              <w:top w:val="single" w:color="auto" w:sz="4" w:space="0"/>
              <w:left w:val="single" w:color="auto" w:sz="4" w:space="0"/>
              <w:bottom w:val="single" w:color="auto" w:sz="4" w:space="0"/>
              <w:right w:val="single" w:color="auto" w:sz="4" w:space="0"/>
            </w:tcBorders>
            <w:noWrap/>
            <w:vAlign w:val="center"/>
          </w:tcPr>
          <w:p w14:paraId="0D3DF04B">
            <w:pPr>
              <w:wordWrap w:val="0"/>
              <w:jc w:val="center"/>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本项目采购相关内容</w:t>
            </w:r>
          </w:p>
        </w:tc>
        <w:tc>
          <w:tcPr>
            <w:tcW w:w="7333" w:type="dxa"/>
            <w:tcBorders>
              <w:top w:val="single" w:color="auto" w:sz="4" w:space="0"/>
              <w:left w:val="single" w:color="auto" w:sz="4" w:space="0"/>
              <w:bottom w:val="single" w:color="auto" w:sz="4" w:space="0"/>
              <w:right w:val="single" w:color="auto" w:sz="4" w:space="0"/>
            </w:tcBorders>
            <w:noWrap/>
            <w:vAlign w:val="center"/>
          </w:tcPr>
          <w:p w14:paraId="70F06EA6">
            <w:pPr>
              <w:wordWrap w:val="0"/>
              <w:jc w:val="both"/>
              <w:rPr>
                <w:rFonts w:hint="eastAsia" w:ascii="仿宋" w:hAnsi="仿宋" w:eastAsia="仿宋" w:cs="仿宋"/>
                <w:color w:val="auto"/>
                <w:szCs w:val="24"/>
                <w:highlight w:val="none"/>
                <w:lang w:eastAsia="zh-CN"/>
              </w:rPr>
            </w:pPr>
            <w:r>
              <w:rPr>
                <w:rFonts w:hint="eastAsia" w:ascii="仿宋" w:hAnsi="仿宋" w:eastAsia="仿宋" w:cs="仿宋"/>
                <w:bCs/>
                <w:color w:val="auto"/>
                <w:szCs w:val="24"/>
                <w:highlight w:val="none"/>
              </w:rPr>
              <w:t>项目名称：</w:t>
            </w:r>
            <w:r>
              <w:rPr>
                <w:rFonts w:hint="eastAsia" w:ascii="仿宋" w:hAnsi="仿宋" w:eastAsia="仿宋" w:cs="仿宋"/>
                <w:color w:val="auto"/>
                <w:szCs w:val="24"/>
                <w:highlight w:val="none"/>
                <w:lang w:eastAsia="zh-CN"/>
              </w:rPr>
              <w:t>吉安城控集团债券主承销商征集项目</w:t>
            </w:r>
          </w:p>
          <w:p w14:paraId="3C459D04">
            <w:pPr>
              <w:wordWrap w:val="0"/>
              <w:jc w:val="both"/>
              <w:rPr>
                <w:rFonts w:hint="eastAsia" w:ascii="仿宋" w:hAnsi="仿宋" w:eastAsia="仿宋" w:cs="仿宋"/>
                <w:bCs/>
                <w:color w:val="auto"/>
                <w:szCs w:val="24"/>
                <w:highlight w:val="none"/>
                <w:lang w:eastAsia="zh-CN"/>
              </w:rPr>
            </w:pPr>
            <w:r>
              <w:rPr>
                <w:rFonts w:hint="eastAsia" w:ascii="仿宋" w:hAnsi="仿宋" w:eastAsia="仿宋" w:cs="仿宋"/>
                <w:bCs/>
                <w:color w:val="auto"/>
                <w:szCs w:val="24"/>
                <w:highlight w:val="none"/>
              </w:rPr>
              <w:t>项目编号：</w:t>
            </w:r>
            <w:r>
              <w:rPr>
                <w:rFonts w:hint="eastAsia" w:ascii="仿宋" w:hAnsi="仿宋" w:eastAsia="仿宋" w:cs="仿宋"/>
                <w:bCs/>
                <w:color w:val="auto"/>
                <w:szCs w:val="24"/>
                <w:highlight w:val="none"/>
                <w:lang w:eastAsia="zh-CN"/>
              </w:rPr>
              <w:t>JACTJL-内采字〔2026〕056号</w:t>
            </w:r>
          </w:p>
          <w:p w14:paraId="58279169">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服务地点：</w:t>
            </w:r>
            <w:r>
              <w:rPr>
                <w:rFonts w:hint="eastAsia" w:ascii="仿宋" w:hAnsi="仿宋" w:eastAsia="仿宋" w:cs="仿宋"/>
                <w:color w:val="auto"/>
                <w:szCs w:val="24"/>
                <w:highlight w:val="none"/>
                <w:lang w:val="en-US" w:eastAsia="zh-CN"/>
              </w:rPr>
              <w:t>采购人指定地点</w:t>
            </w:r>
          </w:p>
          <w:p w14:paraId="7A753EE0">
            <w:pPr>
              <w:wordWrap w:val="0"/>
              <w:jc w:val="both"/>
              <w:rPr>
                <w:rFonts w:hint="eastAsia" w:ascii="仿宋" w:hAnsi="仿宋" w:eastAsia="仿宋" w:cs="仿宋"/>
                <w:bCs/>
                <w:color w:val="auto"/>
                <w:szCs w:val="24"/>
                <w:highlight w:val="none"/>
              </w:rPr>
            </w:pPr>
            <w:r>
              <w:rPr>
                <w:rFonts w:hint="eastAsia" w:ascii="仿宋" w:hAnsi="仿宋" w:eastAsia="仿宋" w:cs="仿宋"/>
                <w:color w:val="auto"/>
                <w:szCs w:val="24"/>
                <w:highlight w:val="none"/>
                <w:lang w:val="en-US" w:eastAsia="zh-CN"/>
              </w:rPr>
              <w:t>采购金额：具体以实际项目服务结算为准</w:t>
            </w:r>
          </w:p>
          <w:p w14:paraId="55224298">
            <w:pPr>
              <w:rPr>
                <w:rFonts w:hint="eastAsia" w:ascii="仿宋" w:hAnsi="仿宋" w:eastAsia="仿宋" w:cs="仿宋"/>
                <w:bCs/>
                <w:color w:val="auto"/>
                <w:szCs w:val="24"/>
                <w:highlight w:val="none"/>
              </w:rPr>
            </w:pPr>
            <w:r>
              <w:rPr>
                <w:rFonts w:hint="eastAsia" w:ascii="仿宋" w:hAnsi="仿宋" w:eastAsia="仿宋" w:cs="仿宋"/>
                <w:color w:val="auto"/>
                <w:szCs w:val="24"/>
                <w:highlight w:val="none"/>
              </w:rPr>
              <w:t>本次征集是对</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的资格评审，并非定货意向或承诺。随着法律法规政策调整和实际执行情况进行延期或者终止，征集人有权终止合同，但是不退还和补偿有关费用，风险由</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承担。</w:t>
            </w:r>
          </w:p>
        </w:tc>
      </w:tr>
      <w:tr w14:paraId="3566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090A0D8C">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p>
        </w:tc>
        <w:tc>
          <w:tcPr>
            <w:tcW w:w="1542" w:type="dxa"/>
            <w:tcBorders>
              <w:top w:val="single" w:color="auto" w:sz="4" w:space="0"/>
              <w:left w:val="single" w:color="auto" w:sz="4" w:space="0"/>
              <w:bottom w:val="single" w:color="auto" w:sz="4" w:space="0"/>
              <w:right w:val="single" w:color="auto" w:sz="4" w:space="0"/>
            </w:tcBorders>
            <w:noWrap/>
            <w:vAlign w:val="center"/>
          </w:tcPr>
          <w:p w14:paraId="1BD998C3">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保证金</w:t>
            </w:r>
          </w:p>
        </w:tc>
        <w:tc>
          <w:tcPr>
            <w:tcW w:w="7333" w:type="dxa"/>
            <w:tcBorders>
              <w:top w:val="single" w:color="auto" w:sz="4" w:space="0"/>
              <w:left w:val="single" w:color="auto" w:sz="4" w:space="0"/>
              <w:bottom w:val="single" w:color="auto" w:sz="4" w:space="0"/>
              <w:right w:val="single" w:color="auto" w:sz="4" w:space="0"/>
            </w:tcBorders>
            <w:noWrap/>
            <w:vAlign w:val="center"/>
          </w:tcPr>
          <w:p w14:paraId="257E0DE4">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☑不要求提供；</w:t>
            </w:r>
          </w:p>
          <w:p w14:paraId="24BF5697">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□要求提供。</w:t>
            </w:r>
          </w:p>
        </w:tc>
      </w:tr>
      <w:tr w14:paraId="61CF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4CC0ED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3</w:t>
            </w:r>
          </w:p>
        </w:tc>
        <w:tc>
          <w:tcPr>
            <w:tcW w:w="1545" w:type="dxa"/>
            <w:tcBorders>
              <w:top w:val="single" w:color="auto" w:sz="4" w:space="0"/>
              <w:left w:val="single" w:color="auto" w:sz="4" w:space="0"/>
              <w:bottom w:val="single" w:color="auto" w:sz="4" w:space="0"/>
              <w:right w:val="single" w:color="auto" w:sz="4" w:space="0"/>
            </w:tcBorders>
            <w:noWrap/>
            <w:vAlign w:val="center"/>
          </w:tcPr>
          <w:p w14:paraId="21D2022C">
            <w:pPr>
              <w:snapToGrid w:val="0"/>
              <w:jc w:val="center"/>
              <w:rPr>
                <w:rFonts w:hint="eastAsia" w:ascii="仿宋" w:hAnsi="仿宋" w:eastAsia="仿宋" w:cs="仿宋"/>
                <w:b/>
                <w:color w:val="auto"/>
                <w:szCs w:val="24"/>
                <w:highlight w:val="none"/>
              </w:rPr>
            </w:pP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资格条件</w:t>
            </w:r>
          </w:p>
        </w:tc>
        <w:tc>
          <w:tcPr>
            <w:tcW w:w="7333" w:type="dxa"/>
            <w:tcBorders>
              <w:top w:val="single" w:color="auto" w:sz="4" w:space="0"/>
              <w:left w:val="single" w:color="auto" w:sz="4" w:space="0"/>
              <w:bottom w:val="single" w:color="auto" w:sz="4" w:space="0"/>
              <w:right w:val="single" w:color="auto" w:sz="4" w:space="0"/>
            </w:tcBorders>
            <w:noWrap/>
            <w:vAlign w:val="center"/>
          </w:tcPr>
          <w:p w14:paraId="1BB00CCF">
            <w:pPr>
              <w:snapToGrid w:val="0"/>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资格条件：</w:t>
            </w:r>
          </w:p>
          <w:p w14:paraId="2636890C">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（1）</w:t>
            </w:r>
            <w:r>
              <w:rPr>
                <w:rFonts w:hint="eastAsia" w:ascii="仿宋" w:hAnsi="仿宋" w:eastAsia="仿宋" w:cs="仿宋"/>
                <w:color w:val="auto"/>
                <w:szCs w:val="24"/>
                <w:highlight w:val="none"/>
              </w:rPr>
              <w:t>具有独立承担民事责任的能力</w:t>
            </w:r>
            <w:r>
              <w:rPr>
                <w:rFonts w:hint="eastAsia" w:ascii="仿宋" w:hAnsi="仿宋" w:eastAsia="仿宋" w:cs="仿宋"/>
                <w:bCs/>
                <w:color w:val="auto"/>
                <w:szCs w:val="24"/>
                <w:highlight w:val="none"/>
              </w:rPr>
              <w:t>；</w:t>
            </w:r>
          </w:p>
          <w:p w14:paraId="005A6E3F">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（2）</w:t>
            </w:r>
            <w:r>
              <w:rPr>
                <w:rFonts w:hint="eastAsia" w:ascii="仿宋" w:hAnsi="仿宋" w:eastAsia="仿宋" w:cs="仿宋"/>
                <w:color w:val="auto"/>
                <w:szCs w:val="24"/>
                <w:highlight w:val="none"/>
              </w:rPr>
              <w:t>具有良好的商业信誉和健全的财务会计制度</w:t>
            </w:r>
            <w:r>
              <w:rPr>
                <w:rFonts w:hint="eastAsia" w:ascii="仿宋" w:hAnsi="仿宋" w:eastAsia="仿宋" w:cs="仿宋"/>
                <w:bCs/>
                <w:color w:val="auto"/>
                <w:szCs w:val="24"/>
                <w:highlight w:val="none"/>
              </w:rPr>
              <w:t>；</w:t>
            </w:r>
          </w:p>
          <w:p w14:paraId="557B39C0">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（3）</w:t>
            </w:r>
            <w:r>
              <w:rPr>
                <w:rFonts w:hint="eastAsia" w:ascii="仿宋" w:hAnsi="仿宋" w:eastAsia="仿宋" w:cs="仿宋"/>
                <w:color w:val="auto"/>
                <w:szCs w:val="24"/>
                <w:highlight w:val="none"/>
              </w:rPr>
              <w:t>具有履行合同所必需的设备和专业技术能力</w:t>
            </w:r>
            <w:r>
              <w:rPr>
                <w:rFonts w:hint="eastAsia" w:ascii="仿宋" w:hAnsi="仿宋" w:eastAsia="仿宋" w:cs="仿宋"/>
                <w:bCs/>
                <w:color w:val="auto"/>
                <w:szCs w:val="24"/>
                <w:highlight w:val="none"/>
              </w:rPr>
              <w:t>；</w:t>
            </w:r>
          </w:p>
          <w:p w14:paraId="3D31633B">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（4）</w:t>
            </w:r>
            <w:r>
              <w:rPr>
                <w:rFonts w:hint="eastAsia" w:ascii="仿宋" w:hAnsi="仿宋" w:eastAsia="仿宋" w:cs="仿宋"/>
                <w:color w:val="auto"/>
                <w:szCs w:val="24"/>
                <w:highlight w:val="none"/>
              </w:rPr>
              <w:t>有依法缴纳税收和社会保障资金的良好记录</w:t>
            </w:r>
            <w:r>
              <w:rPr>
                <w:rFonts w:hint="eastAsia" w:ascii="仿宋" w:hAnsi="仿宋" w:eastAsia="仿宋" w:cs="仿宋"/>
                <w:bCs/>
                <w:color w:val="auto"/>
                <w:szCs w:val="24"/>
                <w:highlight w:val="none"/>
              </w:rPr>
              <w:t>；</w:t>
            </w:r>
          </w:p>
          <w:p w14:paraId="1C18C42B">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（5）参加</w:t>
            </w:r>
            <w:r>
              <w:rPr>
                <w:rFonts w:hint="eastAsia" w:ascii="仿宋" w:hAnsi="仿宋" w:eastAsia="仿宋" w:cs="仿宋"/>
                <w:color w:val="auto"/>
                <w:szCs w:val="21"/>
                <w:highlight w:val="none"/>
              </w:rPr>
              <w:t>本次采购活动</w:t>
            </w:r>
            <w:r>
              <w:rPr>
                <w:rFonts w:hint="eastAsia" w:ascii="仿宋" w:hAnsi="仿宋" w:eastAsia="仿宋" w:cs="仿宋"/>
                <w:bCs/>
                <w:color w:val="auto"/>
                <w:szCs w:val="24"/>
                <w:highlight w:val="none"/>
              </w:rPr>
              <w:t>前三年内，在经营活动中没有重大违法记录；</w:t>
            </w:r>
          </w:p>
          <w:p w14:paraId="46438C5D">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（6）</w:t>
            </w:r>
            <w:r>
              <w:rPr>
                <w:rFonts w:hint="eastAsia" w:ascii="仿宋" w:hAnsi="仿宋" w:eastAsia="仿宋" w:cs="仿宋"/>
                <w:color w:val="auto"/>
                <w:szCs w:val="24"/>
                <w:highlight w:val="none"/>
              </w:rPr>
              <w:t>法律、行政法规规定的其他条件及其他资格要求</w:t>
            </w:r>
            <w:r>
              <w:rPr>
                <w:rFonts w:hint="eastAsia" w:ascii="仿宋" w:hAnsi="仿宋" w:eastAsia="仿宋" w:cs="仿宋"/>
                <w:bCs/>
                <w:color w:val="auto"/>
                <w:szCs w:val="24"/>
                <w:highlight w:val="none"/>
              </w:rPr>
              <w:t>。</w:t>
            </w:r>
          </w:p>
          <w:p w14:paraId="59D26577">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2、</w:t>
            </w:r>
            <w:r>
              <w:rPr>
                <w:rFonts w:hint="eastAsia" w:ascii="仿宋" w:hAnsi="仿宋" w:eastAsia="仿宋" w:cs="仿宋"/>
                <w:color w:val="auto"/>
                <w:szCs w:val="24"/>
                <w:highlight w:val="none"/>
              </w:rPr>
              <w:t>单位负责人为同一人或者存在直接控股、管理关系的不同</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，不得参加同一合同项下的采购活动</w:t>
            </w:r>
            <w:r>
              <w:rPr>
                <w:rFonts w:hint="eastAsia" w:ascii="仿宋" w:hAnsi="仿宋" w:eastAsia="仿宋" w:cs="仿宋"/>
                <w:bCs/>
                <w:color w:val="auto"/>
                <w:szCs w:val="24"/>
                <w:highlight w:val="none"/>
              </w:rPr>
              <w:t>。</w:t>
            </w:r>
          </w:p>
          <w:p w14:paraId="39118AB1">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3、</w:t>
            </w:r>
            <w:r>
              <w:rPr>
                <w:rFonts w:hint="eastAsia" w:ascii="仿宋" w:hAnsi="仿宋" w:eastAsia="仿宋" w:cs="仿宋"/>
                <w:color w:val="auto"/>
                <w:szCs w:val="24"/>
                <w:highlight w:val="none"/>
              </w:rPr>
              <w:t>通过“信用中国”或“</w:t>
            </w:r>
            <w:r>
              <w:rPr>
                <w:rFonts w:hint="eastAsia" w:ascii="仿宋" w:hAnsi="仿宋" w:eastAsia="仿宋" w:cs="仿宋"/>
                <w:color w:val="auto"/>
                <w:szCs w:val="24"/>
                <w:highlight w:val="none"/>
                <w:lang w:eastAsia="zh-CN"/>
              </w:rPr>
              <w:t>中国政府采购网</w:t>
            </w:r>
            <w:r>
              <w:rPr>
                <w:rFonts w:hint="eastAsia" w:ascii="仿宋" w:hAnsi="仿宋" w:eastAsia="仿宋" w:cs="仿宋"/>
                <w:color w:val="auto"/>
                <w:szCs w:val="24"/>
                <w:highlight w:val="none"/>
              </w:rPr>
              <w:t>”查询相关主体信用记录，被列入失信被执行人、重大税收违法失信主体、采购严重违法失信行为记录名单的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（处罚期限尚未届满的），不得参与本项目的采购活动</w:t>
            </w:r>
            <w:r>
              <w:rPr>
                <w:rFonts w:hint="eastAsia" w:ascii="仿宋" w:hAnsi="仿宋" w:eastAsia="仿宋" w:cs="仿宋"/>
                <w:color w:val="auto"/>
                <w:szCs w:val="24"/>
                <w:highlight w:val="none"/>
                <w:lang w:eastAsia="zh-CN"/>
              </w:rPr>
              <w:t>。</w:t>
            </w:r>
            <w:r>
              <w:rPr>
                <w:rFonts w:hint="eastAsia" w:ascii="仿宋" w:hAnsi="仿宋" w:eastAsia="仿宋" w:cs="仿宋"/>
                <w:b/>
                <w:bCs w:val="0"/>
                <w:color w:val="auto"/>
                <w:szCs w:val="24"/>
                <w:highlight w:val="none"/>
              </w:rPr>
              <w:t>【提供</w:t>
            </w:r>
            <w:r>
              <w:rPr>
                <w:rFonts w:hint="eastAsia" w:ascii="仿宋" w:hAnsi="仿宋" w:eastAsia="仿宋" w:cs="仿宋"/>
                <w:b/>
                <w:bCs w:val="0"/>
                <w:color w:val="auto"/>
                <w:szCs w:val="24"/>
                <w:highlight w:val="none"/>
                <w:lang w:eastAsia="zh-CN"/>
              </w:rPr>
              <w:t>征集</w:t>
            </w:r>
            <w:r>
              <w:rPr>
                <w:rFonts w:hint="eastAsia" w:ascii="仿宋" w:hAnsi="仿宋" w:eastAsia="仿宋" w:cs="仿宋"/>
                <w:b/>
                <w:bCs w:val="0"/>
                <w:color w:val="auto"/>
                <w:szCs w:val="24"/>
                <w:highlight w:val="none"/>
              </w:rPr>
              <w:t>截止时间前7日内“中国政府采购网”查询截图及“信用中国”网站的查询结果《法人和非法人组织公共信用信息报告》或提供江西省政府采购</w:t>
            </w:r>
            <w:r>
              <w:rPr>
                <w:rFonts w:hint="eastAsia" w:ascii="仿宋" w:hAnsi="仿宋" w:eastAsia="仿宋" w:cs="仿宋"/>
                <w:b/>
                <w:bCs w:val="0"/>
                <w:color w:val="auto"/>
                <w:szCs w:val="24"/>
                <w:highlight w:val="none"/>
                <w:lang w:val="en-US" w:eastAsia="zh-CN"/>
              </w:rPr>
              <w:t>供应商</w:t>
            </w:r>
            <w:r>
              <w:rPr>
                <w:rFonts w:hint="eastAsia" w:ascii="仿宋" w:hAnsi="仿宋" w:eastAsia="仿宋" w:cs="仿宋"/>
                <w:b/>
                <w:bCs w:val="0"/>
                <w:color w:val="auto"/>
                <w:szCs w:val="24"/>
                <w:highlight w:val="none"/>
              </w:rPr>
              <w:t>资格信用承诺函加盖</w:t>
            </w:r>
            <w:r>
              <w:rPr>
                <w:rFonts w:hint="eastAsia" w:ascii="仿宋" w:hAnsi="仿宋" w:eastAsia="仿宋" w:cs="仿宋"/>
                <w:b/>
                <w:bCs w:val="0"/>
                <w:color w:val="auto"/>
                <w:szCs w:val="24"/>
                <w:highlight w:val="none"/>
                <w:lang w:eastAsia="zh-CN"/>
              </w:rPr>
              <w:t>服务商</w:t>
            </w:r>
            <w:r>
              <w:rPr>
                <w:rFonts w:hint="eastAsia" w:ascii="仿宋" w:hAnsi="仿宋" w:eastAsia="仿宋" w:cs="仿宋"/>
                <w:b/>
                <w:bCs w:val="0"/>
                <w:color w:val="auto"/>
                <w:szCs w:val="24"/>
                <w:highlight w:val="none"/>
              </w:rPr>
              <w:t>公章，查询路途：进入“信用中国”官网→在右上角的“查询”端口输入企业名称→点击企业名称进入企业页面→点击“下载信用信息报告”→下载并生成《法人和非法人组织公共信用信息报告》】</w:t>
            </w:r>
            <w:r>
              <w:rPr>
                <w:rFonts w:hint="eastAsia" w:ascii="仿宋" w:hAnsi="仿宋" w:eastAsia="仿宋" w:cs="仿宋"/>
                <w:bCs/>
                <w:color w:val="auto"/>
                <w:szCs w:val="24"/>
                <w:highlight w:val="none"/>
              </w:rPr>
              <w:t>。</w:t>
            </w:r>
          </w:p>
          <w:p w14:paraId="217F0B93">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5、</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被吉安市城市建设投资开发有限公司列为“黑名单”的，在处罚期内不得参与本项目的采购活动</w:t>
            </w:r>
            <w:r>
              <w:rPr>
                <w:rFonts w:hint="eastAsia" w:ascii="仿宋" w:hAnsi="仿宋" w:eastAsia="仿宋" w:cs="仿宋"/>
                <w:bCs/>
                <w:color w:val="auto"/>
                <w:szCs w:val="24"/>
                <w:highlight w:val="none"/>
                <w:lang w:val="en-US" w:eastAsia="zh-CN"/>
              </w:rPr>
              <w:t xml:space="preserve"> </w:t>
            </w:r>
            <w:r>
              <w:rPr>
                <w:rFonts w:hint="eastAsia" w:ascii="仿宋" w:hAnsi="仿宋" w:eastAsia="仿宋" w:cs="仿宋"/>
                <w:bCs/>
                <w:color w:val="auto"/>
                <w:szCs w:val="24"/>
                <w:highlight w:val="none"/>
              </w:rPr>
              <w:t>。</w:t>
            </w:r>
          </w:p>
        </w:tc>
      </w:tr>
      <w:tr w14:paraId="62B1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41BC8EDF">
            <w:pPr>
              <w:snapToGrid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4</w:t>
            </w:r>
          </w:p>
        </w:tc>
        <w:tc>
          <w:tcPr>
            <w:tcW w:w="1545" w:type="dxa"/>
            <w:tcBorders>
              <w:top w:val="single" w:color="auto" w:sz="4" w:space="0"/>
              <w:left w:val="single" w:color="auto" w:sz="4" w:space="0"/>
              <w:right w:val="single" w:color="auto" w:sz="4" w:space="0"/>
            </w:tcBorders>
            <w:noWrap/>
            <w:vAlign w:val="center"/>
          </w:tcPr>
          <w:p w14:paraId="3C2CBB45">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质疑与澄清、变更发布形式、时间及领取地点</w:t>
            </w:r>
          </w:p>
          <w:p w14:paraId="3CE4AAD1">
            <w:pPr>
              <w:jc w:val="center"/>
              <w:rPr>
                <w:rFonts w:hint="eastAsia" w:ascii="仿宋" w:hAnsi="仿宋" w:eastAsia="仿宋" w:cs="仿宋"/>
                <w:color w:val="auto"/>
                <w:szCs w:val="24"/>
                <w:highlight w:val="none"/>
              </w:rPr>
            </w:pPr>
          </w:p>
        </w:tc>
        <w:tc>
          <w:tcPr>
            <w:tcW w:w="7333" w:type="dxa"/>
            <w:tcBorders>
              <w:top w:val="single" w:color="auto" w:sz="4" w:space="0"/>
              <w:left w:val="single" w:color="auto" w:sz="4" w:space="0"/>
              <w:right w:val="single" w:color="auto" w:sz="4" w:space="0"/>
            </w:tcBorders>
            <w:noWrap/>
            <w:vAlign w:val="center"/>
          </w:tcPr>
          <w:p w14:paraId="6E7A484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质疑与澄清、变更发布形式、时间及领取地点：</w:t>
            </w:r>
          </w:p>
          <w:p w14:paraId="2D802F1F">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认为征集文件、征集过程、入围结果使自己的权益受到损害的，可以在知道或者应知其权益受到损害之日起7个工作日内，以书面形式并按照“谁主张、谁举证”的原则向采购人、采购代理机构提出质疑。</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应在法定质疑期内一次性提出针对同一采购程序环节的质疑。</w:t>
            </w:r>
          </w:p>
          <w:p w14:paraId="60F1781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形式：书面（含邮件）</w:t>
            </w:r>
          </w:p>
          <w:p w14:paraId="36E6E4E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截止时间：截止时间前3个工作日</w:t>
            </w:r>
          </w:p>
          <w:p w14:paraId="1449D37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书面递交地点：吉安城投建设监理有限公司</w:t>
            </w:r>
          </w:p>
          <w:p w14:paraId="2527F12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变更发布形式:网上公布</w:t>
            </w:r>
          </w:p>
          <w:p w14:paraId="0F783BB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截止时间：提交首次响应文件截止之日3个工作日前</w:t>
            </w:r>
          </w:p>
        </w:tc>
      </w:tr>
      <w:tr w14:paraId="14E0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1A307B97">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5</w:t>
            </w:r>
          </w:p>
        </w:tc>
        <w:tc>
          <w:tcPr>
            <w:tcW w:w="1545" w:type="dxa"/>
            <w:tcBorders>
              <w:top w:val="single" w:color="auto" w:sz="4" w:space="0"/>
              <w:left w:val="single" w:color="auto" w:sz="4" w:space="0"/>
              <w:bottom w:val="single" w:color="auto" w:sz="4" w:space="0"/>
              <w:right w:val="single" w:color="auto" w:sz="4" w:space="0"/>
            </w:tcBorders>
            <w:noWrap/>
            <w:vAlign w:val="center"/>
          </w:tcPr>
          <w:p w14:paraId="55A6823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有效期</w:t>
            </w:r>
          </w:p>
        </w:tc>
        <w:tc>
          <w:tcPr>
            <w:tcW w:w="7333" w:type="dxa"/>
            <w:tcBorders>
              <w:top w:val="single" w:color="auto" w:sz="4" w:space="0"/>
              <w:left w:val="single" w:color="auto" w:sz="4" w:space="0"/>
              <w:bottom w:val="single" w:color="auto" w:sz="4" w:space="0"/>
              <w:right w:val="single" w:color="auto" w:sz="4" w:space="0"/>
            </w:tcBorders>
            <w:noWrap/>
            <w:vAlign w:val="center"/>
          </w:tcPr>
          <w:p w14:paraId="62779A66">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截止后90天</w:t>
            </w:r>
          </w:p>
        </w:tc>
      </w:tr>
      <w:tr w14:paraId="5A9C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2DADF8D">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6</w:t>
            </w:r>
          </w:p>
        </w:tc>
        <w:tc>
          <w:tcPr>
            <w:tcW w:w="1545" w:type="dxa"/>
            <w:tcBorders>
              <w:top w:val="single" w:color="auto" w:sz="4" w:space="0"/>
              <w:left w:val="single" w:color="auto" w:sz="4" w:space="0"/>
              <w:bottom w:val="single" w:color="auto" w:sz="4" w:space="0"/>
              <w:right w:val="single" w:color="auto" w:sz="4" w:space="0"/>
            </w:tcBorders>
            <w:noWrap/>
            <w:vAlign w:val="center"/>
          </w:tcPr>
          <w:p w14:paraId="327AFDED">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响应文件份数</w:t>
            </w:r>
          </w:p>
        </w:tc>
        <w:tc>
          <w:tcPr>
            <w:tcW w:w="7333" w:type="dxa"/>
            <w:tcBorders>
              <w:top w:val="single" w:color="auto" w:sz="4" w:space="0"/>
              <w:left w:val="single" w:color="auto" w:sz="4" w:space="0"/>
              <w:bottom w:val="single" w:color="auto" w:sz="4" w:space="0"/>
              <w:right w:val="single" w:color="auto" w:sz="4" w:space="0"/>
            </w:tcBorders>
            <w:noWrap/>
            <w:vAlign w:val="center"/>
          </w:tcPr>
          <w:p w14:paraId="5212FC99">
            <w:pPr>
              <w:spacing w:line="312" w:lineRule="auto"/>
              <w:rPr>
                <w:rFonts w:hint="eastAsia" w:ascii="仿宋" w:hAnsi="仿宋" w:eastAsia="仿宋" w:cs="仿宋"/>
                <w:color w:val="auto"/>
                <w:szCs w:val="24"/>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文件（1份正本、1份副本），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p>
        </w:tc>
      </w:tr>
      <w:tr w14:paraId="6FF0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64096E3">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7</w:t>
            </w:r>
          </w:p>
        </w:tc>
        <w:tc>
          <w:tcPr>
            <w:tcW w:w="1545" w:type="dxa"/>
            <w:tcBorders>
              <w:top w:val="single" w:color="auto" w:sz="4" w:space="0"/>
              <w:left w:val="single" w:color="auto" w:sz="4" w:space="0"/>
              <w:bottom w:val="single" w:color="auto" w:sz="4" w:space="0"/>
              <w:right w:val="single" w:color="auto" w:sz="4" w:space="0"/>
            </w:tcBorders>
            <w:noWrap/>
            <w:vAlign w:val="center"/>
          </w:tcPr>
          <w:p w14:paraId="6E8A465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响应时间及地点</w:t>
            </w:r>
          </w:p>
        </w:tc>
        <w:tc>
          <w:tcPr>
            <w:tcW w:w="7333" w:type="dxa"/>
            <w:tcBorders>
              <w:top w:val="single" w:color="auto" w:sz="4" w:space="0"/>
              <w:left w:val="single" w:color="auto" w:sz="4" w:space="0"/>
              <w:bottom w:val="single" w:color="auto" w:sz="4" w:space="0"/>
              <w:right w:val="single" w:color="auto" w:sz="4" w:space="0"/>
            </w:tcBorders>
            <w:noWrap/>
            <w:vAlign w:val="center"/>
          </w:tcPr>
          <w:p w14:paraId="495FC4F4">
            <w:pPr>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详见征集公告</w:t>
            </w:r>
          </w:p>
        </w:tc>
      </w:tr>
      <w:tr w14:paraId="6DD5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5B1F0FE2">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8</w:t>
            </w:r>
          </w:p>
        </w:tc>
        <w:tc>
          <w:tcPr>
            <w:tcW w:w="1545" w:type="dxa"/>
            <w:tcBorders>
              <w:top w:val="single" w:color="auto" w:sz="4" w:space="0"/>
              <w:left w:val="single" w:color="auto" w:sz="4" w:space="0"/>
              <w:bottom w:val="single" w:color="auto" w:sz="4" w:space="0"/>
              <w:right w:val="single" w:color="auto" w:sz="4" w:space="0"/>
            </w:tcBorders>
            <w:noWrap/>
            <w:vAlign w:val="center"/>
          </w:tcPr>
          <w:p w14:paraId="6F3DCB2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评审</w:t>
            </w:r>
            <w:r>
              <w:rPr>
                <w:rFonts w:hint="eastAsia" w:ascii="仿宋" w:hAnsi="仿宋" w:eastAsia="仿宋" w:cs="仿宋"/>
                <w:color w:val="auto"/>
                <w:szCs w:val="24"/>
                <w:highlight w:val="none"/>
              </w:rPr>
              <w:t>方法</w:t>
            </w:r>
          </w:p>
        </w:tc>
        <w:tc>
          <w:tcPr>
            <w:tcW w:w="7333" w:type="dxa"/>
            <w:tcBorders>
              <w:top w:val="single" w:color="auto" w:sz="4" w:space="0"/>
              <w:left w:val="single" w:color="auto" w:sz="4" w:space="0"/>
              <w:bottom w:val="single" w:color="auto" w:sz="4" w:space="0"/>
              <w:right w:val="single" w:color="auto" w:sz="4" w:space="0"/>
            </w:tcBorders>
            <w:noWrap/>
            <w:vAlign w:val="center"/>
          </w:tcPr>
          <w:p w14:paraId="7ACE252F">
            <w:pPr>
              <w:ind w:firstLine="240" w:firstLineChars="100"/>
              <w:rPr>
                <w:rFonts w:hint="eastAsia" w:ascii="仿宋" w:hAnsi="仿宋" w:eastAsia="仿宋" w:cs="仿宋"/>
                <w:color w:val="auto"/>
                <w:highlight w:val="none"/>
              </w:rPr>
            </w:pPr>
            <w:r>
              <w:rPr>
                <w:rFonts w:hint="eastAsia" w:ascii="仿宋" w:hAnsi="仿宋" w:eastAsia="仿宋" w:cs="仿宋"/>
                <w:color w:val="auto"/>
                <w:highlight w:val="none"/>
              </w:rPr>
              <w:t>第一阶段</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的评审方法</w:t>
            </w:r>
            <w:r>
              <w:rPr>
                <w:rFonts w:hint="eastAsia" w:ascii="仿宋" w:hAnsi="仿宋" w:eastAsia="仿宋" w:cs="仿宋"/>
                <w:color w:val="auto"/>
                <w:highlight w:val="none"/>
                <w:lang w:val="en-US" w:eastAsia="zh-CN"/>
              </w:rPr>
              <w:t>为</w:t>
            </w:r>
            <w:r>
              <w:rPr>
                <w:rFonts w:hint="eastAsia" w:ascii="仿宋" w:hAnsi="仿宋" w:cs="仿宋"/>
                <w:color w:val="auto"/>
                <w:highlight w:val="none"/>
                <w:lang w:val="en-US" w:eastAsia="zh-CN"/>
              </w:rPr>
              <w:t>综合评分法</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不接受备选方案。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确定第一阶段入围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并订立框架协议</w:t>
            </w:r>
            <w:r>
              <w:rPr>
                <w:rFonts w:hint="eastAsia" w:ascii="仿宋" w:hAnsi="仿宋" w:eastAsia="仿宋" w:cs="仿宋"/>
                <w:color w:val="auto"/>
                <w:highlight w:val="none"/>
                <w:lang w:eastAsia="zh-CN"/>
              </w:rPr>
              <w:t>）</w:t>
            </w:r>
          </w:p>
          <w:p w14:paraId="1F206156">
            <w:pPr>
              <w:ind w:firstLine="240" w:firstLineChars="100"/>
              <w:rPr>
                <w:rFonts w:hint="eastAsia" w:ascii="仿宋" w:hAnsi="仿宋" w:eastAsia="仿宋" w:cs="仿宋"/>
                <w:color w:val="auto"/>
                <w:szCs w:val="24"/>
                <w:highlight w:val="none"/>
                <w:lang w:val="en-US"/>
              </w:rPr>
            </w:pPr>
            <w:r>
              <w:rPr>
                <w:rFonts w:hint="eastAsia" w:ascii="仿宋" w:hAnsi="仿宋" w:eastAsia="仿宋" w:cs="仿宋"/>
                <w:color w:val="auto"/>
                <w:highlight w:val="none"/>
                <w:lang w:val="en-US" w:eastAsia="zh-CN"/>
              </w:rPr>
              <w:t>第二阶段：在征集入选后，由采购人用询比采购方式，对入围服务商进行选取。（确定第二阶段成交服务商并订立采购合同）</w:t>
            </w:r>
          </w:p>
        </w:tc>
      </w:tr>
      <w:tr w14:paraId="3BF8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33F47CAE">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9</w:t>
            </w:r>
          </w:p>
        </w:tc>
        <w:tc>
          <w:tcPr>
            <w:tcW w:w="1545" w:type="dxa"/>
            <w:tcBorders>
              <w:top w:val="single" w:color="auto" w:sz="4" w:space="0"/>
              <w:left w:val="single" w:color="auto" w:sz="4" w:space="0"/>
              <w:bottom w:val="single" w:color="auto" w:sz="4" w:space="0"/>
              <w:right w:val="single" w:color="auto" w:sz="4" w:space="0"/>
            </w:tcBorders>
            <w:noWrap/>
            <w:vAlign w:val="center"/>
          </w:tcPr>
          <w:p w14:paraId="2BC4FA3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成交/征集公示公告发布</w:t>
            </w:r>
          </w:p>
        </w:tc>
        <w:tc>
          <w:tcPr>
            <w:tcW w:w="7333" w:type="dxa"/>
            <w:tcBorders>
              <w:top w:val="single" w:color="auto" w:sz="4" w:space="0"/>
              <w:left w:val="single" w:color="auto" w:sz="4" w:space="0"/>
              <w:bottom w:val="single" w:color="auto" w:sz="4" w:space="0"/>
              <w:right w:val="single" w:color="auto" w:sz="4" w:space="0"/>
            </w:tcBorders>
            <w:noWrap/>
            <w:vAlign w:val="center"/>
          </w:tcPr>
          <w:p w14:paraId="1E400FD1">
            <w:pP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吉安市城市建设投资开发有限公司官网（http://www.jactgs.com）</w:t>
            </w:r>
            <w:r>
              <w:rPr>
                <w:rFonts w:hint="eastAsia" w:ascii="仿宋" w:hAnsi="仿宋" w:eastAsia="仿宋" w:cs="仿宋"/>
                <w:color w:val="auto"/>
                <w:szCs w:val="24"/>
                <w:highlight w:val="none"/>
                <w:lang w:val="en-US" w:eastAsia="zh-CN"/>
              </w:rPr>
              <w:t>/</w:t>
            </w:r>
            <w:r>
              <w:rPr>
                <w:rFonts w:hint="eastAsia" w:ascii="仿宋" w:hAnsi="仿宋" w:eastAsia="仿宋" w:cs="仿宋"/>
                <w:color w:val="auto"/>
                <w:szCs w:val="24"/>
                <w:highlight w:val="none"/>
                <w:lang w:eastAsia="zh-CN"/>
              </w:rPr>
              <w:t>吉安市企业采购交易服务平台</w:t>
            </w:r>
          </w:p>
        </w:tc>
      </w:tr>
      <w:tr w14:paraId="5FF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29617CE8">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10</w:t>
            </w:r>
          </w:p>
        </w:tc>
        <w:tc>
          <w:tcPr>
            <w:tcW w:w="1545" w:type="dxa"/>
            <w:tcBorders>
              <w:top w:val="single" w:color="auto" w:sz="4" w:space="0"/>
              <w:left w:val="single" w:color="auto" w:sz="4" w:space="0"/>
              <w:bottom w:val="single" w:color="auto" w:sz="4" w:space="0"/>
              <w:right w:val="single" w:color="auto" w:sz="4" w:space="0"/>
            </w:tcBorders>
            <w:noWrap/>
            <w:vAlign w:val="center"/>
          </w:tcPr>
          <w:p w14:paraId="1F04AB3F">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代理服务费</w:t>
            </w:r>
          </w:p>
        </w:tc>
        <w:tc>
          <w:tcPr>
            <w:tcW w:w="7333" w:type="dxa"/>
            <w:tcBorders>
              <w:top w:val="single" w:color="auto" w:sz="4" w:space="0"/>
              <w:left w:val="single" w:color="auto" w:sz="4" w:space="0"/>
              <w:bottom w:val="single" w:color="auto" w:sz="4" w:space="0"/>
              <w:right w:val="single" w:color="auto" w:sz="4" w:space="0"/>
            </w:tcBorders>
            <w:noWrap/>
            <w:vAlign w:val="center"/>
          </w:tcPr>
          <w:p w14:paraId="16D16AF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各入围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分摊支付代理服务费</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本项目分 A、B 包，每个包的代理服务费为叁万元</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（含税），由各入围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向采购代理机构支付。收取方式：入围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领取入围通知书前向代理机构缴纳，未足额缴纳服务费的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后续不得签订框架协议，请各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充分考虑这一因素。</w:t>
            </w:r>
          </w:p>
        </w:tc>
      </w:tr>
      <w:tr w14:paraId="45E5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45C1EB94">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11</w:t>
            </w:r>
          </w:p>
        </w:tc>
        <w:tc>
          <w:tcPr>
            <w:tcW w:w="1545" w:type="dxa"/>
            <w:tcBorders>
              <w:top w:val="single" w:color="auto" w:sz="4" w:space="0"/>
              <w:left w:val="single" w:color="auto" w:sz="4" w:space="0"/>
              <w:bottom w:val="single" w:color="auto" w:sz="4" w:space="0"/>
              <w:right w:val="single" w:color="auto" w:sz="4" w:space="0"/>
            </w:tcBorders>
            <w:noWrap/>
            <w:vAlign w:val="center"/>
          </w:tcPr>
          <w:p w14:paraId="4ADC053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协议签订</w:t>
            </w:r>
          </w:p>
        </w:tc>
        <w:tc>
          <w:tcPr>
            <w:tcW w:w="7333" w:type="dxa"/>
            <w:tcBorders>
              <w:top w:val="single" w:color="auto" w:sz="4" w:space="0"/>
              <w:left w:val="single" w:color="auto" w:sz="4" w:space="0"/>
              <w:bottom w:val="single" w:color="auto" w:sz="4" w:space="0"/>
              <w:right w:val="single" w:color="auto" w:sz="4" w:space="0"/>
            </w:tcBorders>
            <w:noWrap/>
            <w:vAlign w:val="center"/>
          </w:tcPr>
          <w:p w14:paraId="28E30733">
            <w:pPr>
              <w:rPr>
                <w:rFonts w:hint="eastAsia" w:ascii="仿宋" w:hAnsi="仿宋" w:eastAsia="仿宋" w:cs="仿宋"/>
                <w:color w:val="auto"/>
                <w:szCs w:val="24"/>
                <w:highlight w:val="none"/>
              </w:rPr>
            </w:pPr>
            <w:r>
              <w:rPr>
                <w:rFonts w:hint="eastAsia" w:ascii="仿宋" w:hAnsi="仿宋" w:eastAsia="仿宋" w:cs="仿宋"/>
                <w:color w:val="auto"/>
                <w:kern w:val="0"/>
                <w:sz w:val="24"/>
                <w:szCs w:val="24"/>
                <w:highlight w:val="none"/>
                <w:lang w:val="en-US" w:eastAsia="zh-CN" w:bidi="ar"/>
              </w:rPr>
              <w:t>入围服务商须在领取入围通知书后十个工作日内签订框架协议。</w:t>
            </w:r>
          </w:p>
        </w:tc>
      </w:tr>
      <w:tr w14:paraId="05EF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14:paraId="677265EA">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12</w:t>
            </w:r>
          </w:p>
        </w:tc>
        <w:tc>
          <w:tcPr>
            <w:tcW w:w="1545" w:type="dxa"/>
            <w:tcBorders>
              <w:top w:val="single" w:color="auto" w:sz="4" w:space="0"/>
              <w:left w:val="single" w:color="auto" w:sz="4" w:space="0"/>
              <w:bottom w:val="single" w:color="auto" w:sz="4" w:space="0"/>
              <w:right w:val="single" w:color="auto" w:sz="4" w:space="0"/>
            </w:tcBorders>
            <w:noWrap/>
            <w:vAlign w:val="center"/>
          </w:tcPr>
          <w:p w14:paraId="3F72B159">
            <w:pPr>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其他要求</w:t>
            </w:r>
          </w:p>
        </w:tc>
        <w:tc>
          <w:tcPr>
            <w:tcW w:w="7333" w:type="dxa"/>
            <w:tcBorders>
              <w:top w:val="single" w:color="auto" w:sz="4" w:space="0"/>
              <w:left w:val="single" w:color="auto" w:sz="4" w:space="0"/>
              <w:bottom w:val="single" w:color="auto" w:sz="4" w:space="0"/>
              <w:right w:val="single" w:color="auto" w:sz="4" w:space="0"/>
            </w:tcBorders>
            <w:noWrap/>
            <w:vAlign w:val="center"/>
          </w:tcPr>
          <w:p w14:paraId="5FD2A9A3">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如有提供虚假材料、恶意竞争，经查实，征集人将取消其响应资格，并保留追究法律责任的权利。入围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未在规定的时间内与采购人签订框架协议等行为，采购人将取消其成交资格，并保留追究法律责任的权利。</w:t>
            </w:r>
          </w:p>
        </w:tc>
      </w:tr>
      <w:tr w14:paraId="32D3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41" w:type="dxa"/>
            <w:gridSpan w:val="3"/>
            <w:tcBorders>
              <w:top w:val="single" w:color="auto" w:sz="4" w:space="0"/>
              <w:left w:val="single" w:color="auto" w:sz="4" w:space="0"/>
              <w:bottom w:val="single" w:color="auto" w:sz="4" w:space="0"/>
              <w:right w:val="single" w:color="auto" w:sz="4" w:space="0"/>
            </w:tcBorders>
            <w:noWrap/>
            <w:vAlign w:val="center"/>
          </w:tcPr>
          <w:p w14:paraId="16C9CB04">
            <w:pPr>
              <w:pStyle w:val="46"/>
              <w:spacing w:before="0" w:after="0" w:line="360" w:lineRule="auto"/>
              <w:jc w:val="left"/>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rPr>
              <w:t>注：本表如与框架协议采购其他内容不一致，以本表为准。</w:t>
            </w:r>
          </w:p>
        </w:tc>
      </w:tr>
    </w:tbl>
    <w:p w14:paraId="5749FEAA">
      <w:pPr>
        <w:spacing w:line="534" w:lineRule="exact"/>
        <w:ind w:right="40"/>
        <w:jc w:val="center"/>
        <w:rPr>
          <w:rFonts w:hint="eastAsia" w:ascii="仿宋" w:hAnsi="仿宋" w:eastAsia="仿宋" w:cs="仿宋"/>
          <w:b/>
          <w:bCs/>
          <w:color w:val="auto"/>
          <w:sz w:val="28"/>
          <w:szCs w:val="28"/>
          <w:highlight w:val="none"/>
        </w:rPr>
      </w:pPr>
    </w:p>
    <w:p w14:paraId="4DACE92D">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2.2总则</w:t>
      </w:r>
    </w:p>
    <w:p w14:paraId="6081E46C">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2.2.1采购方式及说明</w:t>
      </w:r>
    </w:p>
    <w:p w14:paraId="2E9A96A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2.2.1.1本项目</w:t>
      </w:r>
      <w:r>
        <w:rPr>
          <w:rFonts w:hint="eastAsia" w:ascii="仿宋" w:hAnsi="仿宋" w:eastAsia="仿宋" w:cs="仿宋"/>
          <w:color w:val="auto"/>
          <w:kern w:val="2"/>
          <w:szCs w:val="24"/>
          <w:highlight w:val="none"/>
          <w:lang w:val="en-US" w:eastAsia="zh-CN"/>
        </w:rPr>
        <w:t>参照</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》及其实施条例</w:t>
      </w:r>
      <w:r>
        <w:rPr>
          <w:rFonts w:hint="eastAsia" w:ascii="仿宋" w:hAnsi="仿宋" w:eastAsia="仿宋" w:cs="仿宋"/>
          <w:color w:val="auto"/>
          <w:kern w:val="2"/>
          <w:szCs w:val="24"/>
          <w:highlight w:val="none"/>
          <w:lang w:eastAsia="zh-CN"/>
        </w:rPr>
        <w:t>、《吉安市城市建设投资开发有限公司货物和服务采购管理办法（试行)》</w:t>
      </w:r>
      <w:r>
        <w:rPr>
          <w:rFonts w:hint="eastAsia" w:ascii="仿宋" w:hAnsi="仿宋" w:cs="仿宋"/>
          <w:color w:val="auto"/>
          <w:kern w:val="2"/>
          <w:szCs w:val="24"/>
          <w:highlight w:val="none"/>
          <w:lang w:eastAsia="zh-CN"/>
        </w:rPr>
        <w:t>、《吉安市城市建设投资开发有限公司框架协议采购管理办法》</w:t>
      </w:r>
      <w:r>
        <w:rPr>
          <w:rFonts w:hint="eastAsia" w:ascii="仿宋" w:hAnsi="仿宋" w:eastAsia="仿宋" w:cs="仿宋"/>
          <w:color w:val="auto"/>
          <w:kern w:val="2"/>
          <w:szCs w:val="24"/>
          <w:highlight w:val="none"/>
        </w:rPr>
        <w:t>等有关法律、行政法规和部门规章，通过</w:t>
      </w:r>
      <w:r>
        <w:rPr>
          <w:rFonts w:hint="eastAsia" w:ascii="仿宋" w:hAnsi="仿宋" w:eastAsia="仿宋" w:cs="仿宋"/>
          <w:b/>
          <w:bCs/>
          <w:color w:val="auto"/>
          <w:kern w:val="2"/>
          <w:szCs w:val="24"/>
          <w:highlight w:val="none"/>
          <w:lang w:eastAsia="zh-CN"/>
        </w:rPr>
        <w:t>框架协议</w:t>
      </w:r>
      <w:r>
        <w:rPr>
          <w:rFonts w:hint="eastAsia" w:ascii="仿宋" w:hAnsi="仿宋" w:eastAsia="仿宋" w:cs="仿宋"/>
          <w:b/>
          <w:bCs/>
          <w:color w:val="auto"/>
          <w:kern w:val="2"/>
          <w:szCs w:val="24"/>
          <w:highlight w:val="none"/>
        </w:rPr>
        <w:t>征集</w:t>
      </w:r>
      <w:r>
        <w:rPr>
          <w:rFonts w:hint="eastAsia" w:ascii="仿宋" w:hAnsi="仿宋" w:eastAsia="仿宋" w:cs="仿宋"/>
          <w:color w:val="auto"/>
          <w:kern w:val="2"/>
          <w:szCs w:val="24"/>
          <w:highlight w:val="none"/>
        </w:rPr>
        <w:t>（以下简称</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）方式择优选定入围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p>
    <w:p w14:paraId="305D136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2.2.1.2采购人指本项目的服务对象</w:t>
      </w:r>
      <w:r>
        <w:rPr>
          <w:rFonts w:hint="eastAsia" w:ascii="仿宋" w:hAnsi="仿宋" w:eastAsia="仿宋" w:cs="仿宋"/>
          <w:b/>
          <w:bCs/>
          <w:color w:val="auto"/>
          <w:kern w:val="2"/>
          <w:szCs w:val="24"/>
          <w:highlight w:val="none"/>
          <w:lang w:eastAsia="zh-CN"/>
        </w:rPr>
        <w:t>吉安城投控股集团有限公司</w:t>
      </w:r>
      <w:r>
        <w:rPr>
          <w:rFonts w:hint="eastAsia" w:ascii="仿宋" w:hAnsi="仿宋" w:eastAsia="仿宋" w:cs="仿宋"/>
          <w:color w:val="auto"/>
          <w:kern w:val="2"/>
          <w:szCs w:val="24"/>
          <w:highlight w:val="none"/>
        </w:rPr>
        <w:t>（以下简称采购人）。</w:t>
      </w:r>
    </w:p>
    <w:p w14:paraId="6F5A1CF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2.2.1.3采购代理机构指负责组织本次</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w:t>
      </w:r>
      <w:r>
        <w:rPr>
          <w:rFonts w:hint="eastAsia" w:ascii="仿宋" w:hAnsi="仿宋" w:eastAsia="仿宋" w:cs="仿宋"/>
          <w:b/>
          <w:bCs/>
          <w:color w:val="auto"/>
          <w:kern w:val="2"/>
          <w:szCs w:val="24"/>
          <w:highlight w:val="none"/>
        </w:rPr>
        <w:t>吉安城投建设监理有限公司</w:t>
      </w:r>
      <w:r>
        <w:rPr>
          <w:rFonts w:hint="eastAsia" w:ascii="仿宋" w:hAnsi="仿宋" w:eastAsia="仿宋" w:cs="仿宋"/>
          <w:color w:val="auto"/>
          <w:kern w:val="2"/>
          <w:szCs w:val="24"/>
          <w:highlight w:val="none"/>
        </w:rPr>
        <w:t>（以下简称采购代理机构）。</w:t>
      </w:r>
    </w:p>
    <w:p w14:paraId="760C4F4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2.2.1.4</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采购是指，通过公开征集程序，确定第一阶段入围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并订立协议。采购人或者服务对象按照协议约定规则，在入围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范围内确定第二阶段成交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并订立采购合同的采购方式。</w:t>
      </w:r>
    </w:p>
    <w:p w14:paraId="055684D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2.2.1.5本项目采取</w:t>
      </w:r>
      <w:r>
        <w:rPr>
          <w:rFonts w:hint="eastAsia" w:ascii="仿宋" w:hAnsi="仿宋" w:eastAsia="仿宋" w:cs="仿宋"/>
          <w:b/>
          <w:bCs/>
          <w:color w:val="auto"/>
          <w:kern w:val="2"/>
          <w:szCs w:val="24"/>
          <w:highlight w:val="none"/>
          <w:lang w:val="en-US" w:eastAsia="zh-CN"/>
        </w:rPr>
        <w:t>封闭式</w:t>
      </w:r>
      <w:r>
        <w:rPr>
          <w:rFonts w:hint="eastAsia" w:ascii="仿宋" w:hAnsi="仿宋" w:eastAsia="仿宋" w:cs="仿宋"/>
          <w:b/>
          <w:bCs/>
          <w:color w:val="auto"/>
          <w:kern w:val="2"/>
          <w:szCs w:val="24"/>
          <w:highlight w:val="none"/>
          <w:lang w:eastAsia="zh-CN"/>
        </w:rPr>
        <w:t>框架协议</w:t>
      </w:r>
      <w:r>
        <w:rPr>
          <w:rFonts w:hint="eastAsia" w:ascii="仿宋" w:hAnsi="仿宋" w:eastAsia="仿宋" w:cs="仿宋"/>
          <w:b/>
          <w:bCs/>
          <w:color w:val="auto"/>
          <w:kern w:val="2"/>
          <w:szCs w:val="24"/>
          <w:highlight w:val="none"/>
        </w:rPr>
        <w:t>征集</w:t>
      </w:r>
      <w:r>
        <w:rPr>
          <w:rFonts w:hint="eastAsia" w:ascii="仿宋" w:hAnsi="仿宋" w:eastAsia="仿宋" w:cs="仿宋"/>
          <w:color w:val="auto"/>
          <w:kern w:val="2"/>
          <w:szCs w:val="24"/>
          <w:highlight w:val="none"/>
        </w:rPr>
        <w:t>，即通过公开竞争订立协议后，除经过协议约定的补充征集程序外，不得增加协议</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p>
    <w:p w14:paraId="627FC9F8">
      <w:pPr>
        <w:jc w:val="both"/>
        <w:rPr>
          <w:rFonts w:hint="eastAsia" w:ascii="仿宋" w:hAnsi="仿宋" w:eastAsia="仿宋" w:cs="仿宋"/>
          <w:b/>
          <w:bCs/>
          <w:color w:val="auto"/>
          <w:szCs w:val="24"/>
          <w:highlight w:val="none"/>
          <w:lang w:eastAsia="zh-CN"/>
        </w:rPr>
      </w:pPr>
      <w:r>
        <w:rPr>
          <w:rFonts w:hint="eastAsia" w:ascii="仿宋" w:hAnsi="仿宋" w:eastAsia="仿宋" w:cs="仿宋"/>
          <w:b/>
          <w:bCs/>
          <w:color w:val="auto"/>
          <w:szCs w:val="24"/>
          <w:highlight w:val="none"/>
        </w:rPr>
        <w:t>2.2.2合格的</w:t>
      </w:r>
      <w:r>
        <w:rPr>
          <w:rFonts w:hint="eastAsia" w:ascii="仿宋" w:hAnsi="仿宋" w:eastAsia="仿宋" w:cs="仿宋"/>
          <w:b/>
          <w:bCs/>
          <w:color w:val="auto"/>
          <w:szCs w:val="24"/>
          <w:highlight w:val="none"/>
          <w:lang w:eastAsia="zh-CN"/>
        </w:rPr>
        <w:t>服务商</w:t>
      </w:r>
    </w:p>
    <w:p w14:paraId="7A322A4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1.满足《</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》第二十二条规定。</w:t>
      </w:r>
    </w:p>
    <w:p w14:paraId="6514186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2.符合本征集文件规定的资格要求，并按照要求提供相关证明材料。</w:t>
      </w:r>
    </w:p>
    <w:p w14:paraId="0AC155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3.满足本文件实质性条款的规定。</w:t>
      </w:r>
    </w:p>
    <w:p w14:paraId="64BB72B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4.本项目不接受联合体投标。</w:t>
      </w:r>
    </w:p>
    <w:p w14:paraId="59F0763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提供的证明材料必须真实、完整、有效。</w:t>
      </w:r>
    </w:p>
    <w:p w14:paraId="773240D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6.本次协议及由此产生的合同受中华人民共和国有关的法律法规制约和保护。</w:t>
      </w:r>
    </w:p>
    <w:p w14:paraId="23C5C0EA">
      <w:pPr>
        <w:jc w:val="both"/>
        <w:rPr>
          <w:rFonts w:hint="eastAsia" w:ascii="仿宋" w:hAnsi="仿宋" w:eastAsia="仿宋" w:cs="仿宋"/>
          <w:b/>
          <w:bCs/>
          <w:color w:val="auto"/>
          <w:szCs w:val="24"/>
          <w:highlight w:val="none"/>
        </w:rPr>
      </w:pPr>
      <w:bookmarkStart w:id="31" w:name="page18"/>
      <w:bookmarkEnd w:id="31"/>
      <w:r>
        <w:rPr>
          <w:rFonts w:hint="eastAsia" w:ascii="仿宋" w:hAnsi="仿宋" w:eastAsia="仿宋" w:cs="仿宋"/>
          <w:b/>
          <w:bCs/>
          <w:color w:val="auto"/>
          <w:szCs w:val="24"/>
          <w:highlight w:val="none"/>
        </w:rPr>
        <w:t>2.2.3</w:t>
      </w:r>
      <w:r>
        <w:rPr>
          <w:rFonts w:hint="eastAsia" w:ascii="仿宋" w:hAnsi="仿宋" w:eastAsia="仿宋" w:cs="仿宋"/>
          <w:b/>
          <w:bCs/>
          <w:color w:val="auto"/>
          <w:szCs w:val="24"/>
          <w:highlight w:val="none"/>
          <w:lang w:eastAsia="zh-CN"/>
        </w:rPr>
        <w:t>响应</w:t>
      </w:r>
      <w:r>
        <w:rPr>
          <w:rFonts w:hint="eastAsia" w:ascii="仿宋" w:hAnsi="仿宋" w:eastAsia="仿宋" w:cs="仿宋"/>
          <w:b/>
          <w:bCs/>
          <w:color w:val="auto"/>
          <w:szCs w:val="24"/>
          <w:highlight w:val="none"/>
        </w:rPr>
        <w:t>费用</w:t>
      </w:r>
    </w:p>
    <w:p w14:paraId="089E12C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2.2.3.1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应自行承担所有与参加</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有关的费用，包括编制与递交响应文件所涉及的一切费用。无论</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过程中的做法和结果如何，采购代理机构或采购人在任何情况下均无义务和责任承担这些费用。</w:t>
      </w:r>
    </w:p>
    <w:p w14:paraId="59B714F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2.2.4</w:t>
      </w:r>
      <w:r>
        <w:rPr>
          <w:rFonts w:hint="eastAsia" w:ascii="仿宋" w:hAnsi="仿宋" w:eastAsia="仿宋" w:cs="仿宋"/>
          <w:b/>
          <w:bCs/>
          <w:color w:val="auto"/>
          <w:szCs w:val="24"/>
          <w:highlight w:val="none"/>
          <w:lang w:eastAsia="zh-CN"/>
        </w:rPr>
        <w:t>框架协议</w:t>
      </w:r>
      <w:r>
        <w:rPr>
          <w:rFonts w:hint="eastAsia" w:ascii="仿宋" w:hAnsi="仿宋" w:eastAsia="仿宋" w:cs="仿宋"/>
          <w:b/>
          <w:bCs/>
          <w:color w:val="auto"/>
          <w:szCs w:val="24"/>
          <w:highlight w:val="none"/>
        </w:rPr>
        <w:t>采购的约束力</w:t>
      </w:r>
    </w:p>
    <w:p w14:paraId="1C9B2D4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2.2.4.1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下载征集文件并决定参加</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采购，即被认为接受了本</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采购的规定和约束，并且视为自征集公告期限届满之日起已经知道或应当知道自身权益是否受到了损害。</w:t>
      </w:r>
    </w:p>
    <w:p w14:paraId="51298526">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2.3征集文件说明</w:t>
      </w:r>
    </w:p>
    <w:p w14:paraId="66DA421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2.3.1征集文件的构成</w:t>
      </w:r>
    </w:p>
    <w:p w14:paraId="1E9F358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2.3.1.1征集文件由以下部分组成</w:t>
      </w:r>
    </w:p>
    <w:p w14:paraId="1368D50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1.征集公告</w:t>
      </w:r>
    </w:p>
    <w:p w14:paraId="40CF7E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须知</w:t>
      </w:r>
    </w:p>
    <w:p w14:paraId="0B226FB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3.合同条款</w:t>
      </w:r>
    </w:p>
    <w:p w14:paraId="1955571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4.项目需求</w:t>
      </w:r>
    </w:p>
    <w:p w14:paraId="6182730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5.评审标准</w:t>
      </w:r>
    </w:p>
    <w:p w14:paraId="3369C1B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6.响应文件格式</w:t>
      </w:r>
    </w:p>
    <w:p w14:paraId="0E246F4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请仔细检查</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采购是否齐全，如有缺漏请立即与采购代理机构联系解决。</w:t>
      </w:r>
    </w:p>
    <w:p w14:paraId="4DC2DB52">
      <w:pPr>
        <w:jc w:val="both"/>
        <w:rPr>
          <w:rFonts w:hint="eastAsia" w:ascii="仿宋" w:hAnsi="仿宋" w:eastAsia="仿宋" w:cs="仿宋"/>
          <w:b/>
          <w:bCs/>
          <w:color w:val="auto"/>
          <w:szCs w:val="24"/>
          <w:highlight w:val="none"/>
        </w:rPr>
      </w:pPr>
      <w:bookmarkStart w:id="32" w:name="page10"/>
      <w:bookmarkEnd w:id="32"/>
      <w:r>
        <w:rPr>
          <w:rFonts w:hint="eastAsia" w:ascii="仿宋" w:hAnsi="仿宋" w:eastAsia="仿宋" w:cs="仿宋"/>
          <w:b/>
          <w:bCs/>
          <w:color w:val="auto"/>
          <w:szCs w:val="24"/>
          <w:highlight w:val="none"/>
        </w:rPr>
        <w:t>2.3.2征集文件的澄清、答疑及修改</w:t>
      </w:r>
    </w:p>
    <w:p w14:paraId="512CCFD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2.3.2.1任何要求对</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采购进行澄清的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均应在提交首次响应文件截止时间3日前按征集公告中的通讯地址，以书面形式通知采购代理机构。提交首次响应文件截止之日前，采购人或采购代理机构可以对已发出的征集文件进行必要的澄清或者修改，澄清或者修改的内容作为征集文件的组成部分。</w:t>
      </w:r>
    </w:p>
    <w:p w14:paraId="22440B6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2.3.2.2澄清或者修改的内容可能影响响应文件编制的，采购代理机构将在提交首次响应文件截止时间至少5个工作日前，在吉安市城市建设投资开发有限公司官网发布书面更正公告形式通知所有获取征集文件的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。不足5个工作日，将顺延提交首次响应文件截止时间。</w:t>
      </w:r>
    </w:p>
    <w:p w14:paraId="4486AFF1">
      <w:pPr>
        <w:widowControl w:val="0"/>
        <w:jc w:val="both"/>
        <w:rPr>
          <w:rFonts w:hint="eastAsia" w:ascii="仿宋" w:hAnsi="仿宋" w:eastAsia="仿宋" w:cs="仿宋"/>
          <w:color w:val="auto"/>
          <w:kern w:val="2"/>
          <w:szCs w:val="24"/>
          <w:highlight w:val="none"/>
        </w:rPr>
      </w:pPr>
    </w:p>
    <w:p w14:paraId="0DC1897A">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2.4响应文件的编制</w:t>
      </w:r>
    </w:p>
    <w:p w14:paraId="15D34CF7">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2.4.1响应文件的语言及度量衡单位</w:t>
      </w:r>
    </w:p>
    <w:p w14:paraId="593D444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2.4.1.1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提交的响应文件以及</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与采购代理机构就有关</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采购的所有来往通知、函件和文件均应使用简体中文。</w:t>
      </w:r>
    </w:p>
    <w:p w14:paraId="4863F3C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2.4.1.2除技术性能另有规定外，响应文件所使用的度量衡单位，均须采用国家法定计量单位。</w:t>
      </w:r>
    </w:p>
    <w:p w14:paraId="4F13106E">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2.4.2响应文件构成</w:t>
      </w:r>
    </w:p>
    <w:p w14:paraId="1695C6D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应当按照征集文件要求编制响应文件，对响应文件的真实性和合法性承担法律责任。</w:t>
      </w:r>
    </w:p>
    <w:p w14:paraId="64993D4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应将响应文件按顺序装订成册，并编制响应文件资料目录。</w:t>
      </w:r>
    </w:p>
    <w:p w14:paraId="7F787B1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2.4.2.3响应文件应包含以下内容：</w:t>
      </w:r>
    </w:p>
    <w:p w14:paraId="6A9A9F8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1．响应函*</w:t>
      </w:r>
    </w:p>
    <w:p w14:paraId="66959EC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2</w:t>
      </w:r>
      <w:r>
        <w:rPr>
          <w:rFonts w:hint="eastAsia" w:ascii="仿宋" w:hAnsi="仿宋" w:eastAsia="仿宋" w:cs="仿宋"/>
          <w:color w:val="auto"/>
          <w:kern w:val="2"/>
          <w:szCs w:val="24"/>
          <w:highlight w:val="none"/>
        </w:rPr>
        <w:t>．偏离情况说明表*</w:t>
      </w:r>
    </w:p>
    <w:p w14:paraId="54EE616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3</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的资格声明*</w:t>
      </w:r>
    </w:p>
    <w:p w14:paraId="2902EFA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4</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服务商响应</w:t>
      </w:r>
      <w:r>
        <w:rPr>
          <w:rFonts w:hint="eastAsia" w:ascii="仿宋" w:hAnsi="仿宋" w:eastAsia="仿宋" w:cs="仿宋"/>
          <w:color w:val="auto"/>
          <w:kern w:val="2"/>
          <w:szCs w:val="24"/>
          <w:highlight w:val="none"/>
        </w:rPr>
        <w:t>资格证明文件*</w:t>
      </w:r>
    </w:p>
    <w:p w14:paraId="077330D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5</w:t>
      </w:r>
      <w:r>
        <w:rPr>
          <w:rFonts w:hint="eastAsia" w:ascii="仿宋" w:hAnsi="仿宋" w:eastAsia="仿宋" w:cs="仿宋"/>
          <w:color w:val="auto"/>
          <w:kern w:val="2"/>
          <w:szCs w:val="24"/>
          <w:highlight w:val="none"/>
        </w:rPr>
        <w:t>．征集文件要求提供的其他材料</w:t>
      </w:r>
    </w:p>
    <w:p w14:paraId="0E358C9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lang w:val="en-US" w:eastAsia="zh-CN"/>
        </w:rPr>
        <w:t>6</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认为其他应介绍或者提交的资料</w:t>
      </w:r>
    </w:p>
    <w:p w14:paraId="3FC38879">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2.5响应文件的递交</w:t>
      </w:r>
    </w:p>
    <w:p w14:paraId="5B3E8E0E">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2.5.1响应文件的递交</w:t>
      </w:r>
    </w:p>
    <w:p w14:paraId="5DB2FA5B">
      <w:pPr>
        <w:spacing w:line="312" w:lineRule="auto"/>
        <w:rPr>
          <w:rFonts w:hint="eastAsia" w:ascii="仿宋" w:hAnsi="仿宋" w:eastAsia="仿宋" w:cs="仿宋"/>
          <w:color w:val="auto"/>
          <w:highlight w:val="none"/>
        </w:rPr>
      </w:pPr>
      <w:r>
        <w:rPr>
          <w:rFonts w:hint="eastAsia" w:ascii="仿宋" w:hAnsi="仿宋" w:eastAsia="仿宋" w:cs="仿宋"/>
          <w:color w:val="auto"/>
          <w:highlight w:val="none"/>
        </w:rPr>
        <w:t>提交一式两份纸质</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文件（1份正本、1份副本），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p>
    <w:p w14:paraId="212C303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2.5.2响应文件的修改和撤回</w:t>
      </w:r>
    </w:p>
    <w:p w14:paraId="3089085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2.5.2.1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提交响应文件后，可以</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截止时间前修改或撤回其</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，但这种修改和撤回，必须在规定的</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截止时间前。</w:t>
      </w:r>
    </w:p>
    <w:p w14:paraId="1102188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2.5.2.2在</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截止日期与征集文件规定的有效期终止日之间的这段时间内，</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不能撤销其</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w:t>
      </w:r>
    </w:p>
    <w:p w14:paraId="0E40B07F">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2.5.3响应文件提交截止时间</w:t>
      </w:r>
    </w:p>
    <w:p w14:paraId="6D48C29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szCs w:val="24"/>
          <w:highlight w:val="none"/>
        </w:rPr>
        <w:t>递交截止时间：详见征集公告。</w:t>
      </w:r>
    </w:p>
    <w:p w14:paraId="1983CCFA">
      <w:pPr>
        <w:spacing w:line="534" w:lineRule="exact"/>
        <w:ind w:right="40"/>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2.6响应文件的开启和</w:t>
      </w:r>
      <w:r>
        <w:rPr>
          <w:rFonts w:hint="eastAsia" w:ascii="仿宋" w:hAnsi="仿宋" w:eastAsia="仿宋" w:cs="仿宋"/>
          <w:b/>
          <w:bCs/>
          <w:color w:val="auto"/>
          <w:sz w:val="28"/>
          <w:szCs w:val="28"/>
          <w:highlight w:val="none"/>
          <w:lang w:val="en-US" w:eastAsia="zh-CN"/>
        </w:rPr>
        <w:t>评审</w:t>
      </w:r>
    </w:p>
    <w:p w14:paraId="333603D2">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2.6.1开启程序</w:t>
      </w:r>
    </w:p>
    <w:p w14:paraId="4238ADA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2.6.1.1采购代理机构将按照本征集文件中规定的时间和地点组织召开</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会议。</w:t>
      </w:r>
    </w:p>
    <w:p w14:paraId="4AF7067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2.6.1.2开启程序由采购代理机构主持</w:t>
      </w:r>
    </w:p>
    <w:p w14:paraId="547199D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1.宣读</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纪律；</w:t>
      </w:r>
    </w:p>
    <w:p w14:paraId="4E17E12A">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2.公布在响应文件提交截止时间前递交响应文件的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名单；</w:t>
      </w:r>
    </w:p>
    <w:p w14:paraId="56C14DF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3.采购代理机构将对开启过程进行记录，并存档备查；</w:t>
      </w:r>
    </w:p>
    <w:p w14:paraId="17DF263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w:t>
      </w:r>
      <w:r>
        <w:rPr>
          <w:rFonts w:hint="eastAsia" w:ascii="仿宋" w:hAnsi="仿宋" w:eastAsia="仿宋" w:cs="仿宋"/>
          <w:color w:val="auto"/>
          <w:kern w:val="2"/>
          <w:szCs w:val="24"/>
          <w:highlight w:val="none"/>
          <w:lang w:eastAsia="zh-CN"/>
        </w:rPr>
        <w:t>征集</w:t>
      </w:r>
      <w:r>
        <w:rPr>
          <w:rFonts w:hint="eastAsia" w:ascii="仿宋" w:hAnsi="仿宋" w:eastAsia="仿宋" w:cs="仿宋"/>
          <w:color w:val="auto"/>
          <w:kern w:val="2"/>
          <w:szCs w:val="24"/>
          <w:highlight w:val="none"/>
        </w:rPr>
        <w:t>会议结束。</w:t>
      </w:r>
    </w:p>
    <w:p w14:paraId="38F531E5">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2.6.2</w:t>
      </w:r>
      <w:r>
        <w:rPr>
          <w:rFonts w:hint="eastAsia" w:ascii="仿宋" w:hAnsi="仿宋" w:eastAsia="仿宋" w:cs="仿宋"/>
          <w:b/>
          <w:bCs/>
          <w:color w:val="auto"/>
          <w:szCs w:val="24"/>
          <w:highlight w:val="none"/>
          <w:lang w:val="en-US" w:eastAsia="zh-CN"/>
        </w:rPr>
        <w:t>评审</w:t>
      </w:r>
      <w:r>
        <w:rPr>
          <w:rFonts w:hint="eastAsia" w:ascii="仿宋" w:hAnsi="仿宋" w:eastAsia="仿宋" w:cs="仿宋"/>
          <w:b/>
          <w:bCs/>
          <w:color w:val="auto"/>
          <w:szCs w:val="24"/>
          <w:highlight w:val="none"/>
        </w:rPr>
        <w:t>过程</w:t>
      </w:r>
    </w:p>
    <w:p w14:paraId="0F91D57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2.6.2.1参与</w:t>
      </w:r>
      <w:r>
        <w:rPr>
          <w:rFonts w:hint="eastAsia" w:ascii="仿宋" w:hAnsi="仿宋" w:eastAsia="仿宋" w:cs="仿宋"/>
          <w:color w:val="auto"/>
          <w:kern w:val="2"/>
          <w:szCs w:val="24"/>
          <w:highlight w:val="none"/>
          <w:lang w:eastAsia="zh-CN"/>
        </w:rPr>
        <w:t>框架协议</w:t>
      </w:r>
      <w:r>
        <w:rPr>
          <w:rFonts w:hint="eastAsia" w:ascii="仿宋" w:hAnsi="仿宋" w:eastAsia="仿宋" w:cs="仿宋"/>
          <w:color w:val="auto"/>
          <w:kern w:val="2"/>
          <w:szCs w:val="24"/>
          <w:highlight w:val="none"/>
        </w:rPr>
        <w:t>采购活动的当事人应对征集文件和响应文件中的商业秘密、技术秘密和个人隐私等保密。违者应对由此造成的法律后果承担法律责任。</w:t>
      </w:r>
    </w:p>
    <w:p w14:paraId="05C7CB47">
      <w:pPr>
        <w:widowControl w:val="0"/>
        <w:jc w:val="both"/>
        <w:rPr>
          <w:rFonts w:hint="eastAsia" w:ascii="仿宋" w:hAnsi="仿宋" w:eastAsia="仿宋" w:cs="仿宋"/>
          <w:color w:val="auto"/>
          <w:kern w:val="2"/>
          <w:szCs w:val="24"/>
          <w:highlight w:val="none"/>
          <w:lang w:eastAsia="zh-CN"/>
        </w:rPr>
      </w:pPr>
      <w:r>
        <w:rPr>
          <w:rFonts w:hint="eastAsia" w:ascii="仿宋" w:hAnsi="仿宋" w:eastAsia="仿宋" w:cs="仿宋"/>
          <w:color w:val="auto"/>
          <w:kern w:val="2"/>
          <w:szCs w:val="24"/>
          <w:highlight w:val="none"/>
        </w:rPr>
        <w:t>2.6.2.2</w:t>
      </w:r>
      <w:r>
        <w:rPr>
          <w:rFonts w:hint="eastAsia" w:ascii="仿宋" w:hAnsi="仿宋" w:eastAsia="仿宋" w:cs="仿宋"/>
          <w:color w:val="auto"/>
          <w:kern w:val="2"/>
          <w:szCs w:val="24"/>
          <w:highlight w:val="none"/>
          <w:lang w:eastAsia="zh-CN"/>
        </w:rPr>
        <w:t>评审委员会</w:t>
      </w:r>
    </w:p>
    <w:p w14:paraId="3B57128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应按有关规定依法组建、负责</w:t>
      </w:r>
      <w:r>
        <w:rPr>
          <w:rFonts w:hint="eastAsia" w:ascii="仿宋" w:hAnsi="仿宋" w:eastAsia="仿宋" w:cs="仿宋"/>
          <w:color w:val="auto"/>
          <w:kern w:val="2"/>
          <w:szCs w:val="24"/>
          <w:highlight w:val="none"/>
          <w:lang w:val="en-US" w:eastAsia="zh-CN"/>
        </w:rPr>
        <w:t>评审</w:t>
      </w:r>
      <w:r>
        <w:rPr>
          <w:rFonts w:hint="eastAsia" w:ascii="仿宋" w:hAnsi="仿宋" w:eastAsia="仿宋" w:cs="仿宋"/>
          <w:color w:val="auto"/>
          <w:kern w:val="2"/>
          <w:szCs w:val="24"/>
          <w:highlight w:val="none"/>
        </w:rPr>
        <w:t>活动。</w:t>
      </w:r>
    </w:p>
    <w:p w14:paraId="1317DCC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2.在响应文件的审查、澄清、评审、比较和授予合同的过程中，</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对采购人和</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施加影响的任何行为，都将导致其被取消</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资格。</w:t>
      </w:r>
    </w:p>
    <w:p w14:paraId="2A7BAB9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确定后，采购人不对未入围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就</w:t>
      </w:r>
      <w:r>
        <w:rPr>
          <w:rFonts w:hint="eastAsia" w:ascii="仿宋" w:hAnsi="仿宋" w:eastAsia="仿宋" w:cs="仿宋"/>
          <w:color w:val="auto"/>
          <w:kern w:val="2"/>
          <w:szCs w:val="24"/>
          <w:highlight w:val="none"/>
          <w:lang w:eastAsia="zh-CN"/>
        </w:rPr>
        <w:t>评审</w:t>
      </w:r>
      <w:r>
        <w:rPr>
          <w:rFonts w:hint="eastAsia" w:ascii="仿宋" w:hAnsi="仿宋" w:eastAsia="仿宋" w:cs="仿宋"/>
          <w:color w:val="auto"/>
          <w:kern w:val="2"/>
          <w:szCs w:val="24"/>
          <w:highlight w:val="none"/>
        </w:rPr>
        <w:t>过程做出任何解释。未入围的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不得向</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成员或其他有关人员索问评审过程中的情况和材料。</w:t>
      </w:r>
    </w:p>
    <w:p w14:paraId="7ACDC49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2.6.2.3第一阶段评审办法：本项目采取</w:t>
      </w:r>
      <w:r>
        <w:rPr>
          <w:rFonts w:hint="eastAsia" w:ascii="仿宋" w:hAnsi="仿宋" w:cs="仿宋"/>
          <w:b/>
          <w:bCs/>
          <w:color w:val="auto"/>
          <w:kern w:val="2"/>
          <w:szCs w:val="24"/>
          <w:highlight w:val="none"/>
          <w:lang w:val="en-US" w:eastAsia="zh-CN"/>
        </w:rPr>
        <w:t>综合评分法</w:t>
      </w:r>
      <w:r>
        <w:rPr>
          <w:rFonts w:hint="eastAsia" w:ascii="仿宋" w:hAnsi="仿宋" w:eastAsia="仿宋" w:cs="仿宋"/>
          <w:color w:val="auto"/>
          <w:kern w:val="2"/>
          <w:szCs w:val="24"/>
          <w:highlight w:val="none"/>
        </w:rPr>
        <w:t>，详见本征集文件第五章。</w:t>
      </w:r>
    </w:p>
    <w:p w14:paraId="42AB068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2.6.2.4资格性审查</w:t>
      </w:r>
    </w:p>
    <w:p w14:paraId="5C8B9EE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1.采购人或采购代理机构将依法对所有</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提供的资格证明材料进行资格审查，以确定</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是否具备</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资格。</w:t>
      </w:r>
    </w:p>
    <w:p w14:paraId="580AF6D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未提交征集文件中规定的资格审查必要材料的，其响应文件视为无效。</w:t>
      </w:r>
    </w:p>
    <w:p w14:paraId="3E627B9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2.6.2.5符合性审查</w:t>
      </w:r>
    </w:p>
    <w:p w14:paraId="3A3F2DA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依据征集文件的规定，对符合资格的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的响应文件的有效性、完整性以及对征集文件中的响应程度进行审查，以确定其是否满足征集文件中的实质性要求。</w:t>
      </w:r>
    </w:p>
    <w:p w14:paraId="5299B26C">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2.在资格性和符合性审查同时，对属于不合格或者响应文件无效的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应签字确认。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拒绝签字确认的，不影响</w:t>
      </w:r>
      <w:r>
        <w:rPr>
          <w:rFonts w:hint="eastAsia" w:ascii="仿宋" w:hAnsi="仿宋" w:eastAsia="仿宋" w:cs="仿宋"/>
          <w:color w:val="auto"/>
          <w:kern w:val="2"/>
          <w:szCs w:val="24"/>
          <w:highlight w:val="none"/>
          <w:lang w:eastAsia="zh-CN"/>
        </w:rPr>
        <w:t>评审委员会</w:t>
      </w:r>
      <w:r>
        <w:rPr>
          <w:rFonts w:hint="eastAsia" w:ascii="仿宋" w:hAnsi="仿宋" w:eastAsia="仿宋" w:cs="仿宋"/>
          <w:color w:val="auto"/>
          <w:kern w:val="2"/>
          <w:szCs w:val="24"/>
          <w:highlight w:val="none"/>
        </w:rPr>
        <w:t>作出不合格或者无效</w:t>
      </w:r>
      <w:r>
        <w:rPr>
          <w:rFonts w:hint="eastAsia" w:ascii="仿宋" w:hAnsi="仿宋" w:eastAsia="仿宋" w:cs="仿宋"/>
          <w:color w:val="auto"/>
          <w:kern w:val="2"/>
          <w:szCs w:val="24"/>
          <w:highlight w:val="none"/>
          <w:lang w:eastAsia="zh-CN"/>
        </w:rPr>
        <w:t>响应</w:t>
      </w:r>
      <w:r>
        <w:rPr>
          <w:rFonts w:hint="eastAsia" w:ascii="仿宋" w:hAnsi="仿宋" w:eastAsia="仿宋" w:cs="仿宋"/>
          <w:color w:val="auto"/>
          <w:kern w:val="2"/>
          <w:szCs w:val="24"/>
          <w:highlight w:val="none"/>
        </w:rPr>
        <w:t>的决定。</w:t>
      </w:r>
    </w:p>
    <w:p w14:paraId="65C7798E">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2.7询问及质疑</w:t>
      </w:r>
    </w:p>
    <w:p w14:paraId="422E7FB8">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2.7.1</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认为征集文件、征集过程、入围结果使自己权益受到损害的，可以在知道其权益受损之日7个工作日内，以书面形式向采购人、采购代理机构提出质疑。</w:t>
      </w:r>
    </w:p>
    <w:p w14:paraId="07171F3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2.7.2质疑</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对答复不满意的，或者采购人、采购代理机构未在规定时间内作出答复的，可在答复期满后15个工作日内向征集人主管部门提出投诉。</w:t>
      </w:r>
    </w:p>
    <w:p w14:paraId="4E54C2F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2.7.3</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对成交结果提出质疑应提交书面质疑书。质疑书应当署名，由法定代表人或者</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代表签字或盖章，并加盖</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单位公章。质疑书主要内容应当包括：质疑人和被质疑人的名称、质疑人的地址、电话等；具体的质疑事项、事实依据及相关证明材料；提起质疑的日期等。</w:t>
      </w:r>
    </w:p>
    <w:p w14:paraId="6E906FA5">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2.8入围通知书</w:t>
      </w:r>
    </w:p>
    <w:p w14:paraId="15DDCC4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2.8.1入围通知书发出后，采购人改变成交结果，成交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放弃成交的，应承担相应的法律责任。</w:t>
      </w:r>
    </w:p>
    <w:p w14:paraId="3D9A595D">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2.8.2采购代理机构将不对成交和未成交的原因作任何解释。</w:t>
      </w:r>
    </w:p>
    <w:p w14:paraId="482E3ECA">
      <w:pPr>
        <w:widowControl w:val="0"/>
        <w:jc w:val="both"/>
        <w:rPr>
          <w:rFonts w:hint="eastAsia" w:ascii="仿宋" w:hAnsi="仿宋" w:eastAsia="仿宋" w:cs="仿宋"/>
          <w:color w:val="auto"/>
          <w:highlight w:val="none"/>
        </w:rPr>
      </w:pPr>
      <w:r>
        <w:rPr>
          <w:rFonts w:hint="eastAsia" w:ascii="仿宋" w:hAnsi="仿宋" w:eastAsia="仿宋" w:cs="仿宋"/>
          <w:color w:val="auto"/>
          <w:kern w:val="2"/>
          <w:szCs w:val="24"/>
          <w:highlight w:val="none"/>
        </w:rPr>
        <w:t>采购代理机构根据采购人确定的成交</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，在“吉安市城市建设投资开发有限公司官网”公告成交结果。</w:t>
      </w:r>
    </w:p>
    <w:p w14:paraId="02DD81D6">
      <w:pPr>
        <w:spacing w:line="534" w:lineRule="exact"/>
        <w:ind w:right="4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2.9授予合同</w:t>
      </w:r>
    </w:p>
    <w:p w14:paraId="5B969370">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2.9.1入围通知书</w:t>
      </w:r>
    </w:p>
    <w:p w14:paraId="34094B1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发布入围结果公告的同时，采购人</w:t>
      </w:r>
      <w:r>
        <w:rPr>
          <w:rFonts w:hint="eastAsia" w:ascii="仿宋" w:hAnsi="仿宋" w:eastAsia="仿宋" w:cs="仿宋"/>
          <w:color w:val="auto"/>
          <w:kern w:val="2"/>
          <w:szCs w:val="24"/>
          <w:highlight w:val="none"/>
          <w:lang w:val="en-US" w:eastAsia="zh-CN"/>
        </w:rPr>
        <w:t>或采购代理机构</w:t>
      </w:r>
      <w:r>
        <w:rPr>
          <w:rFonts w:hint="eastAsia" w:ascii="仿宋" w:hAnsi="仿宋" w:eastAsia="仿宋" w:cs="仿宋"/>
          <w:color w:val="auto"/>
          <w:kern w:val="2"/>
          <w:szCs w:val="24"/>
          <w:highlight w:val="none"/>
        </w:rPr>
        <w:t>将以书面形式向入围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发出入围通知书。</w:t>
      </w:r>
    </w:p>
    <w:p w14:paraId="6F0EC814">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2.9.2合同的签署</w:t>
      </w:r>
    </w:p>
    <w:p w14:paraId="0D45074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2.9.2.1入围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应在入围通知书发出之日起10日内与采购人签订合同。采购人应与入围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按照征集文件和入围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的响应文件的约定签订协议。</w:t>
      </w:r>
    </w:p>
    <w:p w14:paraId="5BD06E35">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2.9.2.2签订的协议不得对征集文件确定的事项以及入围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的响应文件进行实质性修改。</w:t>
      </w:r>
    </w:p>
    <w:p w14:paraId="1490A0A1">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2.9.2.3征集文件、响应文件、书面承诺和入围通知书作为协议的组成部分，都具有法律效力。</w:t>
      </w:r>
    </w:p>
    <w:p w14:paraId="534E3A8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2.9.2.4入围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如不按规定与采购人签订协议的，采购人将有充分理由废除其入围资格，同时</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应承担相应法律责任。</w:t>
      </w:r>
    </w:p>
    <w:p w14:paraId="3BAD856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2.9.2.5入围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放弃入围结果或者因被质疑、投诉，经查实或因不可抗力而无法履行合同的，将由采购人按入围候选人名单中按顺序重新确定入围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，或者重新组织征集。</w:t>
      </w:r>
    </w:p>
    <w:p w14:paraId="7E34FC56">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2.9.2.6入围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应当按照合同约定履行义务和责任。合同双方的当事人不得擅自改变协议约定的合同实质性条款。</w:t>
      </w:r>
    </w:p>
    <w:p w14:paraId="31ED519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2.9.2.7入围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不得以任何形式和理由转包或分包。经查实，可取消其入围资格并解除合同。由此引起的经济损失与法律责任由入围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自行承担。</w:t>
      </w:r>
    </w:p>
    <w:p w14:paraId="2D28EC66">
      <w:pPr>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2.9.3入围</w:t>
      </w:r>
      <w:r>
        <w:rPr>
          <w:rFonts w:hint="eastAsia" w:ascii="仿宋" w:hAnsi="仿宋" w:eastAsia="仿宋" w:cs="仿宋"/>
          <w:b/>
          <w:bCs/>
          <w:color w:val="auto"/>
          <w:szCs w:val="24"/>
          <w:highlight w:val="none"/>
          <w:lang w:eastAsia="zh-CN"/>
        </w:rPr>
        <w:t>服务商</w:t>
      </w:r>
      <w:r>
        <w:rPr>
          <w:rFonts w:hint="eastAsia" w:ascii="仿宋" w:hAnsi="仿宋" w:eastAsia="仿宋" w:cs="仿宋"/>
          <w:b/>
          <w:bCs/>
          <w:color w:val="auto"/>
          <w:szCs w:val="24"/>
          <w:highlight w:val="none"/>
        </w:rPr>
        <w:t>的清退和补充规则</w:t>
      </w:r>
    </w:p>
    <w:p w14:paraId="583280DF">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2.9.3.1入围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有下列情形之一，尚未签订协议的，取消其入围资格；已经签订协议的，解除与其签订的协议：</w:t>
      </w:r>
    </w:p>
    <w:p w14:paraId="0EFE173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1.恶意串通谋取入围或者合同成交的；</w:t>
      </w:r>
    </w:p>
    <w:p w14:paraId="79439D57">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2.提供虚假材料谋取入围或者合同成交的；</w:t>
      </w:r>
    </w:p>
    <w:p w14:paraId="306E497E">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3.无正当理由不接受合同授予的；</w:t>
      </w:r>
    </w:p>
    <w:p w14:paraId="6764D843">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4.不履行合同义务或者履行合同义务不符合约定，经采购人请求履行后仍不履行或者未按约定履行的；</w:t>
      </w:r>
    </w:p>
    <w:p w14:paraId="740A3D20">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5.框架协议有效期内，因违法行为被暂扣或吊销营业执照、行政许可等相关证件的;；</w:t>
      </w:r>
    </w:p>
    <w:p w14:paraId="6CF3E872">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6.协议约定的其他情形：</w:t>
      </w:r>
      <w:r>
        <w:rPr>
          <w:rFonts w:hint="eastAsia" w:ascii="仿宋" w:hAnsi="仿宋" w:eastAsia="仿宋" w:cs="仿宋"/>
          <w:color w:val="auto"/>
          <w:szCs w:val="24"/>
          <w:highlight w:val="none"/>
        </w:rPr>
        <w:t>(一)将采购合同转包；(二)提供假冒伪劣产品；(三)向采购人行贿或者提供其他不正当利益；(四)拒绝采购人监督检查或者提供虚假情况；(五)干扰、扰乱系统正常使用，包括但不限于爬取、篡改、利用漏洞的行为；(六)出现</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信用管理规定的应当清退出库的情形。</w:t>
      </w:r>
    </w:p>
    <w:p w14:paraId="77BBA84B">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被取消入围资格或者被解除框架协议的</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自接受处罚之日起三年内不得参加同一封闭式框架协议补充征集，或者重新申请加入同一开放式框架协议。</w:t>
      </w:r>
    </w:p>
    <w:p w14:paraId="3D174E79">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2.9.4入围</w:t>
      </w:r>
      <w:r>
        <w:rPr>
          <w:rFonts w:hint="eastAsia" w:ascii="仿宋" w:hAnsi="仿宋" w:eastAsia="仿宋" w:cs="仿宋"/>
          <w:color w:val="auto"/>
          <w:kern w:val="2"/>
          <w:szCs w:val="24"/>
          <w:highlight w:val="none"/>
          <w:lang w:eastAsia="zh-CN"/>
        </w:rPr>
        <w:t>服务商</w:t>
      </w:r>
      <w:r>
        <w:rPr>
          <w:rFonts w:hint="eastAsia" w:ascii="仿宋" w:hAnsi="仿宋" w:eastAsia="仿宋" w:cs="仿宋"/>
          <w:color w:val="auto"/>
          <w:kern w:val="2"/>
          <w:szCs w:val="24"/>
          <w:highlight w:val="none"/>
        </w:rPr>
        <w:t>无正当理由，不得主动放弃入围资格或者退出协议。</w:t>
      </w:r>
    </w:p>
    <w:p w14:paraId="2B6F46E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w:t>
      </w:r>
    </w:p>
    <w:p w14:paraId="11F721B9">
      <w:pP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2.9.5</w:t>
      </w:r>
      <w:r>
        <w:rPr>
          <w:rFonts w:hint="eastAsia" w:ascii="仿宋" w:hAnsi="仿宋" w:eastAsia="仿宋" w:cs="仿宋"/>
          <w:color w:val="auto"/>
          <w:szCs w:val="24"/>
          <w:highlight w:val="none"/>
        </w:rPr>
        <w:t>补充规则：如出现剩余入围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不足入围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总数 70%且影响框架协议执行的情形，可以按照原方式继续征集。其余情况框架协议有效期内，不再补充征集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。征集人补充征集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的，补充征集规则应当在框架协议中约定，补充征集的条件、程序、评审方法和淘汰比例应当与初次征集相同。补充征集应当遵守原框架协议的有效期。补充征集期间，原框架协议继续履行。</w:t>
      </w:r>
    </w:p>
    <w:p w14:paraId="3FD69304">
      <w:pPr>
        <w:widowControl w:val="0"/>
        <w:jc w:val="both"/>
        <w:rPr>
          <w:rFonts w:hint="eastAsia" w:ascii="仿宋" w:hAnsi="仿宋" w:eastAsia="仿宋" w:cs="仿宋"/>
          <w:color w:val="auto"/>
          <w:kern w:val="2"/>
          <w:szCs w:val="24"/>
          <w:highlight w:val="none"/>
        </w:rPr>
      </w:pPr>
      <w:r>
        <w:rPr>
          <w:rFonts w:hint="eastAsia" w:ascii="仿宋" w:hAnsi="仿宋" w:eastAsia="仿宋" w:cs="仿宋"/>
          <w:color w:val="auto"/>
          <w:kern w:val="2"/>
          <w:szCs w:val="24"/>
          <w:highlight w:val="none"/>
        </w:rPr>
        <w:t>2.9.</w:t>
      </w:r>
      <w:r>
        <w:rPr>
          <w:rFonts w:hint="eastAsia" w:ascii="仿宋" w:hAnsi="仿宋" w:eastAsia="仿宋" w:cs="仿宋"/>
          <w:color w:val="auto"/>
          <w:kern w:val="2"/>
          <w:szCs w:val="24"/>
          <w:highlight w:val="none"/>
          <w:lang w:val="en-US" w:eastAsia="zh-CN"/>
        </w:rPr>
        <w:t>6</w:t>
      </w:r>
      <w:r>
        <w:rPr>
          <w:rFonts w:hint="eastAsia" w:ascii="仿宋" w:hAnsi="仿宋" w:eastAsia="仿宋" w:cs="仿宋"/>
          <w:color w:val="auto"/>
          <w:kern w:val="2"/>
          <w:szCs w:val="24"/>
          <w:highlight w:val="none"/>
        </w:rPr>
        <w:t>解释权：本征集文件的解释权属于采购代理机构。</w:t>
      </w:r>
    </w:p>
    <w:p w14:paraId="31642275">
      <w:pPr>
        <w:rPr>
          <w:rFonts w:hint="eastAsia" w:ascii="仿宋" w:hAnsi="仿宋" w:eastAsia="仿宋" w:cs="仿宋"/>
          <w:color w:val="auto"/>
          <w:highlight w:val="none"/>
        </w:rPr>
      </w:pPr>
      <w:r>
        <w:rPr>
          <w:rFonts w:hint="eastAsia" w:ascii="仿宋" w:hAnsi="仿宋" w:eastAsia="仿宋" w:cs="仿宋"/>
          <w:color w:val="auto"/>
          <w:kern w:val="2"/>
          <w:szCs w:val="24"/>
          <w:highlight w:val="none"/>
        </w:rPr>
        <w:t>2.9.</w:t>
      </w:r>
      <w:r>
        <w:rPr>
          <w:rFonts w:hint="eastAsia" w:ascii="仿宋" w:hAnsi="仿宋" w:eastAsia="仿宋" w:cs="仿宋"/>
          <w:color w:val="auto"/>
          <w:kern w:val="2"/>
          <w:szCs w:val="24"/>
          <w:highlight w:val="none"/>
          <w:lang w:val="en-US" w:eastAsia="zh-CN"/>
        </w:rPr>
        <w:t>7</w:t>
      </w:r>
      <w:r>
        <w:rPr>
          <w:rFonts w:hint="eastAsia" w:ascii="仿宋" w:hAnsi="仿宋" w:eastAsia="仿宋" w:cs="仿宋"/>
          <w:color w:val="auto"/>
          <w:kern w:val="2"/>
          <w:szCs w:val="24"/>
          <w:highlight w:val="none"/>
        </w:rPr>
        <w:t>未尽事宜：参照《</w:t>
      </w:r>
      <w:r>
        <w:rPr>
          <w:rFonts w:hint="eastAsia" w:ascii="仿宋" w:hAnsi="仿宋" w:eastAsia="仿宋" w:cs="仿宋"/>
          <w:color w:val="auto"/>
          <w:kern w:val="2"/>
          <w:szCs w:val="24"/>
          <w:highlight w:val="none"/>
          <w:lang w:eastAsia="zh-CN"/>
        </w:rPr>
        <w:t>中华人民共和国政府采购法</w:t>
      </w:r>
      <w:r>
        <w:rPr>
          <w:rFonts w:hint="eastAsia" w:ascii="仿宋" w:hAnsi="仿宋" w:eastAsia="仿宋" w:cs="仿宋"/>
          <w:color w:val="auto"/>
          <w:kern w:val="2"/>
          <w:szCs w:val="24"/>
          <w:highlight w:val="none"/>
        </w:rPr>
        <w:t>》及其他有关法律法规的规定执行。</w:t>
      </w:r>
    </w:p>
    <w:p w14:paraId="6F195578">
      <w:pPr>
        <w:pStyle w:val="44"/>
        <w:ind w:firstLine="0" w:firstLineChars="0"/>
        <w:rPr>
          <w:rFonts w:hint="eastAsia" w:ascii="仿宋" w:hAnsi="仿宋" w:eastAsia="仿宋" w:cs="仿宋"/>
          <w:color w:val="auto"/>
          <w:kern w:val="2"/>
          <w:sz w:val="24"/>
          <w:szCs w:val="24"/>
          <w:highlight w:val="none"/>
        </w:rPr>
      </w:pPr>
    </w:p>
    <w:p w14:paraId="60B37C7D">
      <w:pPr>
        <w:bidi w:val="0"/>
        <w:rPr>
          <w:rFonts w:hint="eastAsia" w:ascii="仿宋" w:hAnsi="仿宋" w:eastAsia="仿宋" w:cs="仿宋"/>
          <w:color w:val="auto"/>
          <w:highlight w:val="none"/>
        </w:rPr>
      </w:pPr>
    </w:p>
    <w:p w14:paraId="34098403">
      <w:pPr>
        <w:bidi w:val="0"/>
        <w:rPr>
          <w:rFonts w:hint="eastAsia" w:ascii="仿宋" w:hAnsi="仿宋" w:eastAsia="仿宋" w:cs="仿宋"/>
          <w:color w:val="auto"/>
          <w:highlight w:val="none"/>
        </w:rPr>
      </w:pPr>
    </w:p>
    <w:p w14:paraId="10660C90">
      <w:pPr>
        <w:bidi w:val="0"/>
        <w:rPr>
          <w:rFonts w:hint="eastAsia" w:ascii="仿宋" w:hAnsi="仿宋" w:eastAsia="仿宋" w:cs="仿宋"/>
          <w:color w:val="auto"/>
          <w:highlight w:val="none"/>
        </w:rPr>
      </w:pPr>
    </w:p>
    <w:p w14:paraId="72CDC318">
      <w:pPr>
        <w:bidi w:val="0"/>
        <w:rPr>
          <w:rFonts w:hint="eastAsia" w:ascii="仿宋" w:hAnsi="仿宋" w:eastAsia="仿宋" w:cs="仿宋"/>
          <w:color w:val="auto"/>
          <w:highlight w:val="none"/>
        </w:rPr>
      </w:pPr>
    </w:p>
    <w:p w14:paraId="1EB2862A">
      <w:pPr>
        <w:tabs>
          <w:tab w:val="center" w:pos="4510"/>
        </w:tabs>
        <w:bidi w:val="0"/>
        <w:jc w:val="left"/>
        <w:rPr>
          <w:rFonts w:hint="eastAsia" w:ascii="仿宋" w:hAnsi="仿宋" w:eastAsia="仿宋" w:cs="仿宋"/>
          <w:color w:val="auto"/>
          <w:highlight w:val="none"/>
          <w:lang w:eastAsia="zh-CN"/>
        </w:rPr>
        <w:sectPr>
          <w:headerReference r:id="rId6" w:type="default"/>
          <w:footerReference r:id="rId7" w:type="default"/>
          <w:pgSz w:w="11900" w:h="16838"/>
          <w:pgMar w:top="1440" w:right="1440" w:bottom="1440" w:left="1440" w:header="737" w:footer="454" w:gutter="0"/>
          <w:cols w:space="0" w:num="1"/>
        </w:sectPr>
      </w:pPr>
    </w:p>
    <w:p w14:paraId="5799C6C7">
      <w:pPr>
        <w:pStyle w:val="2"/>
        <w:numPr>
          <w:ilvl w:val="0"/>
          <w:numId w:val="2"/>
        </w:numPr>
        <w:rPr>
          <w:rFonts w:hint="eastAsia" w:ascii="仿宋" w:hAnsi="仿宋" w:eastAsia="仿宋" w:cs="仿宋"/>
          <w:color w:val="auto"/>
          <w:highlight w:val="none"/>
        </w:rPr>
      </w:pPr>
      <w:bookmarkStart w:id="33" w:name="page14"/>
      <w:bookmarkEnd w:id="33"/>
      <w:bookmarkStart w:id="34" w:name="_Toc2058"/>
      <w:bookmarkStart w:id="35" w:name="_Toc12647"/>
      <w:r>
        <w:rPr>
          <w:rFonts w:hint="eastAsia" w:ascii="仿宋" w:hAnsi="仿宋" w:eastAsia="仿宋" w:cs="仿宋"/>
          <w:color w:val="auto"/>
          <w:highlight w:val="none"/>
        </w:rPr>
        <w:t>合同条款</w:t>
      </w:r>
      <w:bookmarkEnd w:id="34"/>
      <w:bookmarkEnd w:id="35"/>
    </w:p>
    <w:p w14:paraId="7430155F">
      <w:pPr>
        <w:tabs>
          <w:tab w:val="left" w:pos="0"/>
        </w:tabs>
        <w:jc w:val="both"/>
        <w:rPr>
          <w:rFonts w:hint="eastAsia" w:ascii="仿宋" w:hAnsi="仿宋" w:eastAsia="仿宋" w:cs="仿宋"/>
          <w:b/>
          <w:bCs/>
          <w:color w:val="auto"/>
          <w:szCs w:val="24"/>
          <w:highlight w:val="none"/>
        </w:rPr>
      </w:pPr>
      <w:bookmarkStart w:id="36" w:name="page23"/>
      <w:bookmarkEnd w:id="36"/>
      <w:r>
        <w:rPr>
          <w:rFonts w:hint="eastAsia" w:ascii="仿宋" w:hAnsi="仿宋" w:eastAsia="仿宋" w:cs="仿宋"/>
          <w:b/>
          <w:bCs/>
          <w:color w:val="auto"/>
          <w:szCs w:val="24"/>
          <w:highlight w:val="none"/>
          <w:lang w:val="zh-CN"/>
        </w:rPr>
        <w:t>注：本采购合同样本仅作为双方签订合同的参考，为阐明各方的权利和义务，经协商可增加新的条款，但不得与采购文件、响应文件的实质性内容相背离。</w:t>
      </w:r>
    </w:p>
    <w:p w14:paraId="36DFEC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以实际签订合同为准</w:t>
      </w:r>
    </w:p>
    <w:p w14:paraId="2D1E8D59">
      <w:pPr>
        <w:rPr>
          <w:rFonts w:hint="eastAsia" w:ascii="仿宋" w:hAnsi="仿宋" w:eastAsia="仿宋" w:cs="仿宋"/>
          <w:color w:val="auto"/>
          <w:szCs w:val="24"/>
          <w:highlight w:val="none"/>
        </w:rPr>
      </w:pPr>
    </w:p>
    <w:p w14:paraId="3AF108E7">
      <w:pPr>
        <w:rPr>
          <w:rFonts w:hint="eastAsia" w:ascii="仿宋" w:hAnsi="仿宋" w:eastAsia="仿宋" w:cs="仿宋"/>
          <w:color w:val="auto"/>
          <w:szCs w:val="24"/>
          <w:highlight w:val="none"/>
        </w:rPr>
      </w:pPr>
    </w:p>
    <w:p w14:paraId="2F3C240C">
      <w:pPr>
        <w:ind w:firstLine="241" w:firstLineChars="100"/>
        <w:jc w:val="center"/>
        <w:rPr>
          <w:rFonts w:hint="eastAsia" w:ascii="仿宋" w:hAnsi="仿宋" w:eastAsia="仿宋" w:cs="仿宋"/>
          <w:color w:val="auto"/>
          <w:szCs w:val="24"/>
          <w:highlight w:val="none"/>
        </w:rPr>
      </w:pP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确定第一阶段入围</w:t>
      </w:r>
      <w:r>
        <w:rPr>
          <w:rFonts w:hint="eastAsia" w:ascii="仿宋" w:hAnsi="仿宋" w:eastAsia="仿宋" w:cs="仿宋"/>
          <w:b/>
          <w:bCs/>
          <w:color w:val="auto"/>
          <w:highlight w:val="none"/>
          <w:lang w:eastAsia="zh-CN"/>
        </w:rPr>
        <w:t>服务商</w:t>
      </w:r>
      <w:r>
        <w:rPr>
          <w:rFonts w:hint="eastAsia" w:ascii="仿宋" w:hAnsi="仿宋" w:eastAsia="仿宋" w:cs="仿宋"/>
          <w:b/>
          <w:bCs/>
          <w:color w:val="auto"/>
          <w:highlight w:val="none"/>
        </w:rPr>
        <w:t>并订立框架协议</w:t>
      </w:r>
      <w:r>
        <w:rPr>
          <w:rFonts w:hint="eastAsia" w:ascii="仿宋" w:hAnsi="仿宋" w:eastAsia="仿宋" w:cs="仿宋"/>
          <w:b/>
          <w:bCs/>
          <w:color w:val="auto"/>
          <w:highlight w:val="none"/>
          <w:lang w:eastAsia="zh-CN"/>
        </w:rPr>
        <w:t>）</w:t>
      </w:r>
    </w:p>
    <w:p w14:paraId="27CC8E2E">
      <w:pPr>
        <w:jc w:val="cente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框架协议</w:t>
      </w:r>
    </w:p>
    <w:p w14:paraId="408DAF6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框架协议采购项目名称：</w:t>
      </w:r>
    </w:p>
    <w:p w14:paraId="19B44C7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计划编号：</w:t>
      </w:r>
    </w:p>
    <w:p w14:paraId="54D0A2B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项目编号：</w:t>
      </w:r>
    </w:p>
    <w:p w14:paraId="3D7443B5">
      <w:pPr>
        <w:rPr>
          <w:rFonts w:hint="eastAsia" w:ascii="仿宋" w:hAnsi="仿宋" w:eastAsia="仿宋" w:cs="仿宋"/>
          <w:color w:val="auto"/>
          <w:szCs w:val="24"/>
          <w:highlight w:val="none"/>
        </w:rPr>
      </w:pPr>
    </w:p>
    <w:p w14:paraId="2127F05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甲方（征集人）：</w:t>
      </w:r>
    </w:p>
    <w:p w14:paraId="571DEF8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住所地：</w:t>
      </w:r>
    </w:p>
    <w:p w14:paraId="337977E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联系方式：</w:t>
      </w:r>
    </w:p>
    <w:p w14:paraId="541117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p>
    <w:p w14:paraId="2EF0658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住所地： </w:t>
      </w:r>
    </w:p>
    <w:p w14:paraId="58041A6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联系方式： </w:t>
      </w:r>
    </w:p>
    <w:p w14:paraId="686DC1F6">
      <w:pPr>
        <w:rPr>
          <w:rFonts w:hint="eastAsia" w:ascii="仿宋" w:hAnsi="仿宋" w:eastAsia="仿宋" w:cs="仿宋"/>
          <w:color w:val="auto"/>
          <w:szCs w:val="24"/>
          <w:highlight w:val="none"/>
        </w:rPr>
      </w:pPr>
    </w:p>
    <w:p w14:paraId="27DFC97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根据《中华人民共和国政府采购法》、《政府采购框架协议采购方式管理暂行办法》、 《中华人民共和国民法典》等法律法规规定，甲乙双方经平等协商就框架协议采购事项，订立本框架协议。</w:t>
      </w:r>
    </w:p>
    <w:p w14:paraId="19D5C81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一、定义</w:t>
      </w:r>
    </w:p>
    <w:p w14:paraId="514C8D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除非另有特别约定，在本协议以及与本协议有关的甲乙双方另行签订的其他文件</w:t>
      </w:r>
    </w:p>
    <w:p w14:paraId="07B09F3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中，下列词语按如下定义进行解释：</w:t>
      </w:r>
    </w:p>
    <w:p w14:paraId="19B9AFE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”是指通过框架协议采购项目征集程序，合法取得订立本框架协议资格的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p>
    <w:p w14:paraId="4AF3F65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r>
        <w:rPr>
          <w:rFonts w:hint="eastAsia" w:ascii="仿宋" w:hAnsi="仿宋" w:eastAsia="仿宋" w:cs="仿宋"/>
          <w:color w:val="auto"/>
          <w:szCs w:val="24"/>
          <w:highlight w:val="none"/>
          <w:lang w:val="en-US" w:eastAsia="zh-CN"/>
        </w:rPr>
        <w:t>报价</w:t>
      </w:r>
      <w:r>
        <w:rPr>
          <w:rFonts w:hint="eastAsia" w:ascii="仿宋" w:hAnsi="仿宋" w:eastAsia="仿宋" w:cs="仿宋"/>
          <w:color w:val="auto"/>
          <w:szCs w:val="24"/>
          <w:highlight w:val="none"/>
        </w:rPr>
        <w:t>”是指</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第</w:t>
      </w:r>
      <w:r>
        <w:rPr>
          <w:rFonts w:hint="eastAsia" w:ascii="仿宋" w:hAnsi="仿宋" w:eastAsia="仿宋" w:cs="仿宋"/>
          <w:color w:val="auto"/>
          <w:szCs w:val="24"/>
          <w:highlight w:val="none"/>
          <w:lang w:val="en-US" w:eastAsia="zh-CN"/>
        </w:rPr>
        <w:t>二</w:t>
      </w:r>
      <w:r>
        <w:rPr>
          <w:rFonts w:hint="eastAsia" w:ascii="仿宋" w:hAnsi="仿宋" w:eastAsia="仿宋" w:cs="仿宋"/>
          <w:color w:val="auto"/>
          <w:szCs w:val="24"/>
          <w:highlight w:val="none"/>
        </w:rPr>
        <w:t>阶段</w:t>
      </w:r>
      <w:r>
        <w:rPr>
          <w:rFonts w:hint="eastAsia" w:ascii="仿宋" w:hAnsi="仿宋" w:eastAsia="仿宋" w:cs="仿宋"/>
          <w:color w:val="auto"/>
          <w:szCs w:val="24"/>
          <w:highlight w:val="none"/>
          <w:lang w:val="en-US" w:eastAsia="zh-CN"/>
        </w:rPr>
        <w:t>的</w:t>
      </w:r>
      <w:r>
        <w:rPr>
          <w:rFonts w:hint="eastAsia" w:ascii="仿宋" w:hAnsi="仿宋" w:eastAsia="仿宋" w:cs="仿宋"/>
          <w:color w:val="auto"/>
          <w:szCs w:val="24"/>
          <w:highlight w:val="none"/>
        </w:rPr>
        <w:t>响应报价。</w:t>
      </w:r>
    </w:p>
    <w:p w14:paraId="2F37437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二、采购需求</w:t>
      </w:r>
    </w:p>
    <w:p w14:paraId="201A9EC1">
      <w:pPr>
        <w:rPr>
          <w:rFonts w:hint="eastAsia" w:ascii="仿宋" w:hAnsi="仿宋" w:eastAsia="仿宋" w:cs="仿宋"/>
          <w:color w:val="auto"/>
          <w:szCs w:val="24"/>
          <w:highlight w:val="none"/>
        </w:rPr>
        <w:sectPr>
          <w:headerReference r:id="rId8" w:type="default"/>
          <w:pgSz w:w="11907" w:h="16839"/>
          <w:pgMar w:top="1134" w:right="1785" w:bottom="0" w:left="1785" w:header="0" w:footer="0" w:gutter="0"/>
          <w:cols w:space="0" w:num="1"/>
          <w:rtlGutter w:val="0"/>
          <w:docGrid w:linePitch="0" w:charSpace="0"/>
        </w:sectPr>
      </w:pPr>
    </w:p>
    <w:p w14:paraId="62919277">
      <w:pPr>
        <w:rPr>
          <w:rFonts w:hint="eastAsia" w:ascii="仿宋" w:hAnsi="仿宋" w:eastAsia="仿宋" w:cs="仿宋"/>
          <w:color w:val="auto"/>
          <w:szCs w:val="24"/>
          <w:highlight w:val="none"/>
        </w:rPr>
      </w:pPr>
    </w:p>
    <w:p w14:paraId="5C226428">
      <w:pPr>
        <w:rPr>
          <w:rFonts w:hint="eastAsia" w:ascii="仿宋" w:hAnsi="仿宋" w:eastAsia="仿宋" w:cs="仿宋"/>
          <w:color w:val="auto"/>
          <w:szCs w:val="24"/>
          <w:highlight w:val="none"/>
        </w:rPr>
      </w:pPr>
    </w:p>
    <w:p w14:paraId="18A52F4B">
      <w:pPr>
        <w:rPr>
          <w:rFonts w:hint="eastAsia" w:ascii="仿宋" w:hAnsi="仿宋" w:eastAsia="仿宋" w:cs="仿宋"/>
          <w:color w:val="auto"/>
          <w:szCs w:val="24"/>
          <w:highlight w:val="none"/>
        </w:rPr>
      </w:pPr>
    </w:p>
    <w:p w14:paraId="6C5E3791">
      <w:pPr>
        <w:rPr>
          <w:rFonts w:hint="eastAsia" w:ascii="仿宋" w:hAnsi="仿宋" w:eastAsia="仿宋" w:cs="仿宋"/>
          <w:color w:val="auto"/>
          <w:szCs w:val="24"/>
          <w:highlight w:val="none"/>
        </w:rPr>
      </w:pPr>
    </w:p>
    <w:p w14:paraId="77F103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 采购需求（详见征集文件）</w:t>
      </w:r>
    </w:p>
    <w:p w14:paraId="0CBF859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2. </w:t>
      </w:r>
      <w:r>
        <w:rPr>
          <w:rFonts w:hint="eastAsia" w:ascii="仿宋" w:hAnsi="仿宋" w:eastAsia="仿宋" w:cs="仿宋"/>
          <w:color w:val="auto"/>
          <w:szCs w:val="24"/>
          <w:highlight w:val="none"/>
          <w:lang w:val="en-US" w:eastAsia="zh-CN"/>
        </w:rPr>
        <w:t>报价</w:t>
      </w:r>
      <w:r>
        <w:rPr>
          <w:rFonts w:hint="eastAsia" w:ascii="仿宋" w:hAnsi="仿宋" w:eastAsia="仿宋" w:cs="仿宋"/>
          <w:color w:val="auto"/>
          <w:szCs w:val="24"/>
          <w:highlight w:val="none"/>
        </w:rPr>
        <w:t>（详见征集文件）</w:t>
      </w:r>
    </w:p>
    <w:p w14:paraId="256A28A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 服务内容、服务标准（详见乙方的响应文件）</w:t>
      </w:r>
    </w:p>
    <w:p w14:paraId="0FFE1804">
      <w:pP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三、确定第二阶段成交</w:t>
      </w:r>
      <w:r>
        <w:rPr>
          <w:rFonts w:hint="eastAsia" w:ascii="仿宋" w:hAnsi="仿宋" w:eastAsia="仿宋" w:cs="仿宋"/>
          <w:color w:val="auto"/>
          <w:szCs w:val="24"/>
          <w:highlight w:val="none"/>
          <w:lang w:eastAsia="zh-CN"/>
        </w:rPr>
        <w:t>服务商</w:t>
      </w:r>
    </w:p>
    <w:p w14:paraId="33B526FD">
      <w:pPr>
        <w:rPr>
          <w:rFonts w:hint="eastAsia" w:ascii="仿宋" w:hAnsi="仿宋" w:eastAsia="仿宋" w:cs="仿宋"/>
          <w:b/>
          <w:bCs/>
          <w:color w:val="auto"/>
          <w:szCs w:val="24"/>
          <w:highlight w:val="none"/>
        </w:rPr>
      </w:pPr>
      <w:r>
        <w:rPr>
          <w:rFonts w:hint="eastAsia" w:ascii="仿宋" w:hAnsi="仿宋" w:eastAsia="仿宋" w:cs="仿宋"/>
          <w:color w:val="auto"/>
          <w:szCs w:val="24"/>
          <w:highlight w:val="none"/>
        </w:rPr>
        <w:t>1. 确定第二阶段成交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的方式为</w:t>
      </w:r>
      <w:r>
        <w:rPr>
          <w:rFonts w:hint="eastAsia" w:ascii="仿宋" w:hAnsi="仿宋" w:eastAsia="仿宋" w:cs="仿宋"/>
          <w:color w:val="auto"/>
          <w:szCs w:val="24"/>
          <w:highlight w:val="none"/>
          <w:lang w:val="en-US" w:eastAsia="zh-CN"/>
        </w:rPr>
        <w:t>由</w:t>
      </w:r>
      <w:r>
        <w:rPr>
          <w:rFonts w:hint="eastAsia" w:ascii="仿宋" w:hAnsi="仿宋" w:eastAsia="仿宋" w:cs="仿宋"/>
          <w:b/>
          <w:bCs/>
          <w:color w:val="auto"/>
          <w:szCs w:val="24"/>
          <w:highlight w:val="none"/>
          <w:lang w:val="en-US" w:eastAsia="zh-CN"/>
        </w:rPr>
        <w:t>采购人通过</w:t>
      </w:r>
      <w:r>
        <w:rPr>
          <w:rFonts w:hint="eastAsia" w:ascii="仿宋" w:hAnsi="仿宋" w:eastAsia="仿宋" w:cs="仿宋"/>
          <w:b/>
          <w:bCs/>
          <w:color w:val="auto"/>
          <w:highlight w:val="none"/>
          <w:lang w:val="en-US" w:eastAsia="zh-CN"/>
        </w:rPr>
        <w:t>询比采购方式</w:t>
      </w:r>
      <w:r>
        <w:rPr>
          <w:rFonts w:hint="eastAsia" w:ascii="仿宋" w:hAnsi="仿宋" w:eastAsia="仿宋" w:cs="仿宋"/>
          <w:b/>
          <w:bCs/>
          <w:color w:val="auto"/>
          <w:szCs w:val="24"/>
          <w:highlight w:val="none"/>
        </w:rPr>
        <w:t>。</w:t>
      </w:r>
    </w:p>
    <w:p w14:paraId="092091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（1）直接选定方式：由征集人或者服务对象依据入围产品价格、质量以及服务便利性、用户评价等因素，从第一阶段入围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中直接选定。</w:t>
      </w:r>
    </w:p>
    <w:p w14:paraId="4C5B084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（2）二次竞价方式：以框架协议约定的入围产品</w:t>
      </w:r>
      <w:r>
        <w:rPr>
          <w:rFonts w:hint="eastAsia" w:ascii="仿宋" w:hAnsi="仿宋" w:eastAsia="仿宋" w:cs="仿宋"/>
          <w:color w:val="auto"/>
          <w:szCs w:val="24"/>
          <w:highlight w:val="none"/>
          <w:lang w:val="en-US" w:eastAsia="zh-CN"/>
        </w:rPr>
        <w:t>/服务</w:t>
      </w:r>
      <w:r>
        <w:rPr>
          <w:rFonts w:hint="eastAsia" w:ascii="仿宋" w:hAnsi="仿宋" w:eastAsia="仿宋" w:cs="仿宋"/>
          <w:color w:val="auto"/>
          <w:szCs w:val="24"/>
          <w:highlight w:val="none"/>
        </w:rPr>
        <w:t>、采购合同文本等为依据，征集人明确第二阶段竞价需求，从入围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中选择所有符合竞价需求的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参与二次竞价，确定报价最</w:t>
      </w:r>
      <w:r>
        <w:rPr>
          <w:rFonts w:hint="eastAsia" w:ascii="仿宋" w:hAnsi="仿宋" w:eastAsia="仿宋" w:cs="仿宋"/>
          <w:color w:val="auto"/>
          <w:szCs w:val="24"/>
          <w:highlight w:val="none"/>
          <w:lang w:val="en-US" w:eastAsia="zh-CN"/>
        </w:rPr>
        <w:t>低</w:t>
      </w:r>
      <w:r>
        <w:rPr>
          <w:rFonts w:hint="eastAsia" w:ascii="仿宋" w:hAnsi="仿宋" w:eastAsia="仿宋" w:cs="仿宋"/>
          <w:color w:val="auto"/>
          <w:szCs w:val="24"/>
          <w:highlight w:val="none"/>
        </w:rPr>
        <w:t>的为成交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的方式。</w:t>
      </w:r>
    </w:p>
    <w:p w14:paraId="520E963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w:t>
      </w:r>
      <w:r>
        <w:rPr>
          <w:rFonts w:hint="eastAsia" w:ascii="仿宋" w:hAnsi="仿宋" w:eastAsia="仿宋" w:cs="仿宋"/>
          <w:color w:val="auto"/>
          <w:highlight w:val="none"/>
          <w:lang w:val="en-US" w:eastAsia="zh-CN"/>
        </w:rPr>
        <w:t>询比采购方式:在征集入选后，由采购人用询比采购方式，对入围服务商进行选取。（确定第二阶段成交服务商并订立采购合同）</w:t>
      </w:r>
    </w:p>
    <w:p w14:paraId="1044A93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 采购人在确定成交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后，双方应当按照框架协议中规定的“采购合同文本”格式签订采购合同，不得擅自改变框架协议约定的合同实质性条款。</w:t>
      </w:r>
    </w:p>
    <w:p w14:paraId="63D0B1A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四、支付</w:t>
      </w:r>
    </w:p>
    <w:p w14:paraId="04C81B7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（一）支付方式：按照采购合同约定的方式支付价款。采购合同对支付方式不明确的，按照有利于实现政府采购合同目的的方式履行。</w:t>
      </w:r>
    </w:p>
    <w:p w14:paraId="0141B85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（二）支付时间：第二阶段采购人应该按照采购合同约定的时间支付价款。约定不明确的，采购人可以随时支付，乙方可以随时请求支付，但应该给采购人必要的准备时间以满足支付条件。</w:t>
      </w:r>
    </w:p>
    <w:p w14:paraId="6235EE8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（三）支付条件：按照采购合同约定的支付条件支付价款。采购合同约定不得违反国家有关财政资金支付管理的规定。</w:t>
      </w:r>
    </w:p>
    <w:p w14:paraId="0CD0721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五、入围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的清退和补充</w:t>
      </w:r>
    </w:p>
    <w:p w14:paraId="330A184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的清退</w:t>
      </w:r>
    </w:p>
    <w:p w14:paraId="66DD320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1.依法清退。入围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有下列情形之一，尚未签订框架协议的，取消其入围资格；已经签订框架协议的，解除与其签订的框架协议：</w:t>
      </w:r>
    </w:p>
    <w:p w14:paraId="0CA06D7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1.1恶意串通谋取入围或合同成交的；</w:t>
      </w:r>
    </w:p>
    <w:p w14:paraId="3348F7F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1.2 提供虚假材料谋取入围或者合同成交的；</w:t>
      </w:r>
    </w:p>
    <w:p w14:paraId="6E112AEA">
      <w:pPr>
        <w:rPr>
          <w:rFonts w:hint="eastAsia" w:ascii="仿宋" w:hAnsi="仿宋" w:eastAsia="仿宋" w:cs="仿宋"/>
          <w:color w:val="auto"/>
          <w:szCs w:val="24"/>
          <w:highlight w:val="none"/>
        </w:rPr>
        <w:sectPr>
          <w:headerReference r:id="rId9" w:type="default"/>
          <w:pgSz w:w="11907" w:h="16839"/>
          <w:pgMar w:top="400" w:right="1724" w:bottom="0" w:left="1670" w:header="0" w:footer="0" w:gutter="0"/>
          <w:cols w:space="720" w:num="1"/>
        </w:sectPr>
      </w:pPr>
    </w:p>
    <w:p w14:paraId="6FD03F57">
      <w:pPr>
        <w:rPr>
          <w:rFonts w:hint="eastAsia" w:ascii="仿宋" w:hAnsi="仿宋" w:eastAsia="仿宋" w:cs="仿宋"/>
          <w:color w:val="auto"/>
          <w:szCs w:val="24"/>
          <w:highlight w:val="none"/>
        </w:rPr>
      </w:pPr>
    </w:p>
    <w:p w14:paraId="4CB64DDC">
      <w:pPr>
        <w:rPr>
          <w:rFonts w:hint="eastAsia" w:ascii="仿宋" w:hAnsi="仿宋" w:eastAsia="仿宋" w:cs="仿宋"/>
          <w:color w:val="auto"/>
          <w:szCs w:val="24"/>
          <w:highlight w:val="none"/>
        </w:rPr>
      </w:pPr>
    </w:p>
    <w:p w14:paraId="07E45DEE">
      <w:pPr>
        <w:rPr>
          <w:rFonts w:hint="eastAsia" w:ascii="仿宋" w:hAnsi="仿宋" w:eastAsia="仿宋" w:cs="仿宋"/>
          <w:color w:val="auto"/>
          <w:szCs w:val="24"/>
          <w:highlight w:val="none"/>
        </w:rPr>
      </w:pPr>
    </w:p>
    <w:p w14:paraId="4542C299">
      <w:pPr>
        <w:rPr>
          <w:rFonts w:hint="eastAsia" w:ascii="仿宋" w:hAnsi="仿宋" w:eastAsia="仿宋" w:cs="仿宋"/>
          <w:color w:val="auto"/>
          <w:szCs w:val="24"/>
          <w:highlight w:val="none"/>
        </w:rPr>
      </w:pPr>
    </w:p>
    <w:p w14:paraId="25278E9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1.3无正当理由不接受合同授予的；</w:t>
      </w:r>
    </w:p>
    <w:p w14:paraId="310B535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1.4不履行合同义务或者履行合同义务不符合约定，经采购人请求履行后仍不履行或者仍未 按约定履行的；</w:t>
      </w:r>
    </w:p>
    <w:p w14:paraId="64952E3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1.5框架协议有效期内，因违法行为被禁止或限制参加政府采购活动的；</w:t>
      </w:r>
    </w:p>
    <w:p w14:paraId="0CEC7E1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1.6考核得分低于合格标准的；</w:t>
      </w:r>
    </w:p>
    <w:p w14:paraId="4842E28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1.7 企业经营不善，无力履行企业相应职能的；</w:t>
      </w:r>
    </w:p>
    <w:p w14:paraId="04E6822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1.8 严重违反法律法规，造成恶劣影响的；</w:t>
      </w:r>
    </w:p>
    <w:p w14:paraId="2A1FB9E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1.9框架协议约定的其他情形。</w:t>
      </w:r>
    </w:p>
    <w:p w14:paraId="567361B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被取消入围资格或者被解除框架协议的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自接受处罚之日起三年内不得参加同一封闭式框架协议补充征集，或者重新申请加入同一开放式框架协议。</w:t>
      </w:r>
    </w:p>
    <w:p w14:paraId="3AFD5E7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w:t>
      </w:r>
    </w:p>
    <w:p w14:paraId="19EE2FF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补充规则：如出现剩余入围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不足入围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总数 70%且影响框架协议执行的情形，可以按照原方式继续征集。其余情况框架协议有效期内，不再补充征集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。征集人补充征集</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的，补充征集规则应当在框架协议中约定，补充征集的条件、程序、评审方法和淘汰比例应当与初次征集相同。补充征集应当遵守原框架协议的有效期。补充征集期间，原框架协议继续履行。</w:t>
      </w:r>
    </w:p>
    <w:p w14:paraId="5A7D3C9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六、双方权利义务</w:t>
      </w:r>
    </w:p>
    <w:p w14:paraId="03B3179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（一）甲方的权利义务</w:t>
      </w:r>
    </w:p>
    <w:p w14:paraId="044B02F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1.甲方依法组织实施框架协议采购活动，并严格遵循公开透明、公平竞争、公正和诚实信用原则。</w:t>
      </w:r>
    </w:p>
    <w:p w14:paraId="37F7F40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2.甲方为第二阶段合同授予提供必要的工作便利。</w:t>
      </w:r>
    </w:p>
    <w:p w14:paraId="1DB5C43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3.甲方应根据国家法律法规规定及政策要求、主管部门要求、采购人反馈以及行业市场变化等情况适时调整本协议相关内容。</w:t>
      </w:r>
    </w:p>
    <w:p w14:paraId="401E2E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4.甲方对采购人不按时支付乙方合同款不承担任何责任。</w:t>
      </w:r>
    </w:p>
    <w:p w14:paraId="48FCDD2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5.甲方对乙方在框架协议采购活动中的行为进行管理，并按法律法规规定公开包括但不限于征集文件、入围信息以及第二阶段确定成交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情况等信息。</w:t>
      </w:r>
    </w:p>
    <w:p w14:paraId="5648385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6.甲方有权将乙方履行协议和政府采购合同相关情况向采购人或其他利害关系人公开，或按要求提供给相关主管部门。</w:t>
      </w:r>
    </w:p>
    <w:p w14:paraId="5C4834B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7.依据法律法规或者本协议相关规定，管理入围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资格。</w:t>
      </w:r>
    </w:p>
    <w:p w14:paraId="2C3A32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8.甲方保证依法履行此协议全部约定义务。</w:t>
      </w:r>
    </w:p>
    <w:p w14:paraId="12BF055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（二）乙方的权利义务</w:t>
      </w:r>
    </w:p>
    <w:p w14:paraId="04048E6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1.乙方只有在与甲方签订本协议后，才获得与采购人订立采购合同的有效资格。</w:t>
      </w:r>
    </w:p>
    <w:p w14:paraId="717C8ED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2.严格执行国家法律法规，合法经营，诚实守信，自觉遵守本协议相关内容。</w:t>
      </w:r>
    </w:p>
    <w:p w14:paraId="3372789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3.入围</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在约定期限内，应当以不高于其报价的价格向适用框架协议的采购人</w:t>
      </w:r>
      <w:r>
        <w:rPr>
          <w:rFonts w:hint="eastAsia" w:ascii="仿宋" w:hAnsi="仿宋" w:eastAsia="仿宋" w:cs="仿宋"/>
          <w:color w:val="auto"/>
          <w:szCs w:val="24"/>
          <w:highlight w:val="none"/>
          <w:lang w:val="en-US" w:eastAsia="zh-CN"/>
        </w:rPr>
        <w:t>提供服务</w:t>
      </w:r>
      <w:r>
        <w:rPr>
          <w:rFonts w:hint="eastAsia" w:ascii="仿宋" w:hAnsi="仿宋" w:eastAsia="仿宋" w:cs="仿宋"/>
          <w:color w:val="auto"/>
          <w:szCs w:val="24"/>
          <w:highlight w:val="none"/>
        </w:rPr>
        <w:t>。</w:t>
      </w:r>
    </w:p>
    <w:p w14:paraId="199797AE">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4.乙方严格按照本框架协议内容与采购人订立采购合同，维护采购人的利益。</w:t>
      </w:r>
    </w:p>
    <w:p w14:paraId="21F281D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5.乙方提供的产品或服务应符合国家标准和响应文件要求，乙方提供的产品或者服务涉及的产品迭代、市场变化、政策调整等情况及时向甲方反馈。</w:t>
      </w:r>
    </w:p>
    <w:p w14:paraId="147DC9F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6.乙方同意接受并配合甲方的相关监督管理。</w:t>
      </w:r>
    </w:p>
    <w:p w14:paraId="502412A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7.乙方同意甲方为政府采购工作需要在相关政府采购业务网站、相关文件上或其他渠道公开发布乙方的协议价格、服务承诺及其它相关信息。</w:t>
      </w:r>
    </w:p>
    <w:p w14:paraId="0357842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七、采购合同</w:t>
      </w:r>
    </w:p>
    <w:p w14:paraId="2340E2E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乙方与采购人在本协议基础上就采购具体事宜订立采购合同，采购合同不得违反本协议内容。</w:t>
      </w:r>
    </w:p>
    <w:p w14:paraId="7A1C527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八、协议有效期</w:t>
      </w:r>
    </w:p>
    <w:p w14:paraId="32B4769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1.协议有效期：框架协议生效之日起</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年</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月</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日。</w:t>
      </w:r>
    </w:p>
    <w:p w14:paraId="7932102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九、不可抗力</w:t>
      </w:r>
    </w:p>
    <w:p w14:paraId="20C00B9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协议一方由于受诸如战争、骚乱、瘟疫、严重火灾、洪水、台风、地震等不可抗力事件的影响而不能执行协议时，协议有效期应予以延长，延长的期限应相当于事故所影响的时间。不可抗力事件是指协议双方在缔结协议时所不能预见的，且它的发生及其后果是无法避免和无法克服的。</w:t>
      </w:r>
    </w:p>
    <w:p w14:paraId="166743E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2.遭受不可抗力一方应在不可抗力事件发生后尽快以书面形式通知对方，并于事件发生后及时将不可抗力对履行协议影响程度的说明用特快专递或挂号信寄给对方。</w:t>
      </w:r>
    </w:p>
    <w:p w14:paraId="6DDE648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发生不可抗力时，任何一方均不对因不可抗力无法履行或延迟履行本协议义务而使另一方蒙受损失承担责任，但遭受不可抗力一方有责任尽可能及时采取适当或必要措施减少或消除不可抗力的影响。遭受不可抗力的一方对因未尽本项义务而造成的损失承担赔偿责任。</w:t>
      </w:r>
    </w:p>
    <w:p w14:paraId="7F17E5C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4.一旦不可抗力事件的影响持续120 天以上，协议双方通过友好协商，在合理的时间内 达成进一步履行协议或终止协议的意见。</w:t>
      </w:r>
    </w:p>
    <w:p w14:paraId="09EBC04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十、保密条款</w:t>
      </w:r>
    </w:p>
    <w:p w14:paraId="3A4D5588">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1.任何一方对其获知的本协议涉及的所有有形、无形的信息及资料（包括但不限于甲乙双方的往来书面文件、电子邮件及信息、软盘资料等）中另一方的商业秘密（法律法规 规定应予公开的信息除外）或国家秘密负有保密义务。</w:t>
      </w:r>
    </w:p>
    <w:p w14:paraId="7508556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除法律、法规或本协议另有规定，或得到本协议另一方的书面许可外，任何一方不得向第三方泄露前款规定的商业秘密或国家秘密。保密期限自任何一方获知该商业秘密或国家秘密之日起至本条规定的秘密成为公众信息之日止。</w:t>
      </w:r>
    </w:p>
    <w:p w14:paraId="09079A3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十一、争议的解决</w:t>
      </w:r>
    </w:p>
    <w:p w14:paraId="3C4EC151">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在执行本协议中发生的与本协议有关的争端，甲乙双方应通过友好协商解决，经协商在60 天内不能达成协议时，甲乙双方同意将争议提交有管辖权的人民法院解决。</w:t>
      </w:r>
    </w:p>
    <w:p w14:paraId="08E8B19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十二、协议的解释</w:t>
      </w:r>
    </w:p>
    <w:p w14:paraId="4CE0811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1.任何一方对本协议及其附件的解释均应遵循诚实信用原则，依照本协议签订时有效的国家法律、法规以及人们通常的理解进行。</w:t>
      </w:r>
    </w:p>
    <w:p w14:paraId="32FF09E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2.本协议中以日表述的时间期限均指公历日。</w:t>
      </w:r>
    </w:p>
    <w:p w14:paraId="7100500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三</w:t>
      </w:r>
      <w:r>
        <w:rPr>
          <w:rFonts w:hint="eastAsia" w:ascii="仿宋" w:hAnsi="仿宋" w:eastAsia="仿宋" w:cs="仿宋"/>
          <w:color w:val="auto"/>
          <w:szCs w:val="24"/>
          <w:highlight w:val="none"/>
        </w:rPr>
        <w:t>、协议修改</w:t>
      </w:r>
    </w:p>
    <w:p w14:paraId="0F4B84F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1.对于本协议的未尽事宜，需进行修改、补充或完善的，甲乙双方必须就所修改的内容签订补充协议。</w:t>
      </w:r>
    </w:p>
    <w:p w14:paraId="05D1D74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2.补充协议与本协议具有同等法律效力，补充协议与本协议不一致的，以补充协议为准。</w:t>
      </w:r>
    </w:p>
    <w:p w14:paraId="1ADE7A3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四</w:t>
      </w:r>
      <w:r>
        <w:rPr>
          <w:rFonts w:hint="eastAsia" w:ascii="仿宋" w:hAnsi="仿宋" w:eastAsia="仿宋" w:cs="仿宋"/>
          <w:color w:val="auto"/>
          <w:szCs w:val="24"/>
          <w:highlight w:val="none"/>
        </w:rPr>
        <w:t>、协议生效</w:t>
      </w:r>
    </w:p>
    <w:p w14:paraId="1789423B">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1.除非另有说明，本协议经甲乙双方加盖公章后，即开始生效。</w:t>
      </w:r>
    </w:p>
    <w:p w14:paraId="453EB5F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2.本协议中的附件均为本协议不可分割的部分，与本协议具有同等的法律效力。</w:t>
      </w:r>
    </w:p>
    <w:p w14:paraId="376EBB07">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五</w:t>
      </w:r>
      <w:r>
        <w:rPr>
          <w:rFonts w:hint="eastAsia" w:ascii="仿宋" w:hAnsi="仿宋" w:eastAsia="仿宋" w:cs="仿宋"/>
          <w:color w:val="auto"/>
          <w:szCs w:val="24"/>
          <w:highlight w:val="none"/>
        </w:rPr>
        <w:t>、协议终止</w:t>
      </w:r>
    </w:p>
    <w:p w14:paraId="2698401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1.除本协议另有约定外，在有效期内任何一方不得擅自终止，否则应负担所造成的一切损失。如一方因故需终止合同，必须提前三个月书面通知另一方，经双方达成一致意见后，方可终止。</w:t>
      </w:r>
    </w:p>
    <w:p w14:paraId="62DD153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2.出现下列情况时本协议自行终止：</w:t>
      </w:r>
    </w:p>
    <w:p w14:paraId="52C26B7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（1）本协议正常履行完毕；</w:t>
      </w:r>
    </w:p>
    <w:p w14:paraId="219F8F5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（2）甲乙双方协议终止本协议的履行；</w:t>
      </w:r>
    </w:p>
    <w:p w14:paraId="296CAC0D">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（3）不可抗力导致本协议无法履行或履行不必要时；</w:t>
      </w:r>
    </w:p>
    <w:p w14:paraId="305DF5C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（4）一方不履行协议条款，造成另一方无法执行协议，协商又不能求得解决，责任方赔偿损失后，协议终止。</w:t>
      </w:r>
    </w:p>
    <w:p w14:paraId="10861F5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3.乙方出现本协议第四条所列违约情形的，甲方有权解除协议，对于由此给乙方造成的损失甲方不承担赔偿责任，对于由此给甲方造成的损失，乙方应负赔偿责任。</w:t>
      </w:r>
    </w:p>
    <w:p w14:paraId="76EE7A6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六</w:t>
      </w:r>
      <w:r>
        <w:rPr>
          <w:rFonts w:hint="eastAsia" w:ascii="仿宋" w:hAnsi="仿宋" w:eastAsia="仿宋" w:cs="仿宋"/>
          <w:color w:val="auto"/>
          <w:szCs w:val="24"/>
          <w:highlight w:val="none"/>
        </w:rPr>
        <w:t>、法律适用</w:t>
      </w:r>
    </w:p>
    <w:p w14:paraId="6441562F">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本协议及附件的订立、效力、解释、履行、争议的解决等适用本协议签订时有效的国家法律、法规的有关规定。</w:t>
      </w:r>
    </w:p>
    <w:p w14:paraId="345F4C2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十</w:t>
      </w:r>
      <w:r>
        <w:rPr>
          <w:rFonts w:hint="eastAsia" w:ascii="仿宋" w:hAnsi="仿宋" w:cs="仿宋"/>
          <w:color w:val="auto"/>
          <w:szCs w:val="24"/>
          <w:highlight w:val="none"/>
          <w:lang w:val="en-US" w:eastAsia="zh-CN"/>
        </w:rPr>
        <w:t>七</w:t>
      </w:r>
      <w:r>
        <w:rPr>
          <w:rFonts w:hint="eastAsia" w:ascii="仿宋" w:hAnsi="仿宋" w:eastAsia="仿宋" w:cs="仿宋"/>
          <w:color w:val="auto"/>
          <w:szCs w:val="24"/>
          <w:highlight w:val="none"/>
        </w:rPr>
        <w:t>、权利的保留</w:t>
      </w:r>
    </w:p>
    <w:p w14:paraId="7A301319">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14:paraId="5E2BADB4">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2.如果本协议部分条款依据协议生效后颁布的有关法律、法规被确认为无效或无法履行，且该部分无效或无法履行的条款不影响本协议其他条款效力的，本协议其他条款继续有效；同时，协议各方应根据现行有关法律、法规对该部分无效或无法履行的条款进行调整，使其依法成为有效条款，并尽量符合本协议所体现的原则和精神。</w:t>
      </w:r>
    </w:p>
    <w:p w14:paraId="084ACCCC">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3.在本协议履行期间，因国家法律、法规、政策的变化致使本协议的部分条款相冲突、无效或失去可强制执行效力时，甲乙双方应尽快修改本协议中相冲突或无效或失去可强制执行效力的条款。</w:t>
      </w:r>
    </w:p>
    <w:p w14:paraId="39497B0A">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甲方：</w:t>
      </w:r>
    </w:p>
    <w:p w14:paraId="2D1C2275">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单位名称（公章）</w:t>
      </w:r>
    </w:p>
    <w:p w14:paraId="75F67D10">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签约日期：</w:t>
      </w:r>
    </w:p>
    <w:p w14:paraId="4FB47EF6">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乙方：</w:t>
      </w:r>
    </w:p>
    <w:p w14:paraId="1730A8C2">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单位名称（公章）</w:t>
      </w:r>
    </w:p>
    <w:p w14:paraId="3E614203">
      <w:pPr>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签约日期：</w:t>
      </w:r>
    </w:p>
    <w:p w14:paraId="5155DE05">
      <w:pPr>
        <w:rPr>
          <w:rFonts w:hint="eastAsia" w:ascii="仿宋" w:hAnsi="仿宋" w:eastAsia="仿宋" w:cs="仿宋"/>
          <w:color w:val="auto"/>
          <w:szCs w:val="24"/>
          <w:highlight w:val="none"/>
        </w:rPr>
      </w:pPr>
    </w:p>
    <w:p w14:paraId="2C41D7AF">
      <w:pPr>
        <w:keepNext/>
        <w:keepLines/>
        <w:pageBreakBefore w:val="0"/>
        <w:widowControl/>
        <w:kinsoku/>
        <w:wordWrap w:val="0"/>
        <w:overflowPunct/>
        <w:topLinePunct w:val="0"/>
        <w:autoSpaceDE/>
        <w:autoSpaceDN/>
        <w:bidi w:val="0"/>
        <w:adjustRightInd/>
        <w:snapToGrid/>
        <w:textAlignment w:val="auto"/>
        <w:rPr>
          <w:rFonts w:hint="eastAsia" w:ascii="仿宋" w:hAnsi="仿宋" w:eastAsia="仿宋" w:cs="仿宋"/>
          <w:color w:val="auto"/>
          <w:szCs w:val="24"/>
          <w:highlight w:val="none"/>
        </w:rPr>
        <w:sectPr>
          <w:pgSz w:w="11907" w:h="16839"/>
          <w:pgMar w:top="400" w:right="1727" w:bottom="0" w:left="1590" w:header="0" w:footer="0" w:gutter="0"/>
          <w:cols w:space="720" w:num="1"/>
        </w:sectPr>
      </w:pPr>
    </w:p>
    <w:p w14:paraId="0A9A2EB0">
      <w:pPr>
        <w:jc w:val="center"/>
        <w:rPr>
          <w:rFonts w:hint="eastAsia" w:ascii="仿宋" w:hAnsi="仿宋" w:eastAsia="仿宋" w:cs="仿宋"/>
          <w:color w:val="auto"/>
          <w:szCs w:val="24"/>
          <w:highlight w:val="none"/>
        </w:rPr>
      </w:pPr>
      <w:r>
        <w:rPr>
          <w:rFonts w:hint="eastAsia" w:ascii="仿宋" w:hAnsi="仿宋" w:eastAsia="仿宋" w:cs="仿宋"/>
          <w:b/>
          <w:bCs/>
          <w:color w:val="auto"/>
          <w:highlight w:val="none"/>
          <w:lang w:val="en-US" w:eastAsia="zh-CN"/>
        </w:rPr>
        <w:t>（确定第二阶段成交服务商并订立劳务合同）</w:t>
      </w:r>
    </w:p>
    <w:p w14:paraId="2519EC57">
      <w:pPr>
        <w:spacing w:line="520" w:lineRule="exact"/>
        <w:jc w:val="left"/>
        <w:rPr>
          <w:rFonts w:hint="eastAsia" w:ascii="仿宋" w:hAnsi="仿宋" w:eastAsia="仿宋" w:cs="仿宋"/>
          <w:color w:val="auto"/>
          <w:sz w:val="24"/>
          <w:highlight w:val="none"/>
          <w:u w:val="single"/>
        </w:rPr>
      </w:pPr>
    </w:p>
    <w:p w14:paraId="20720586">
      <w:pPr>
        <w:rPr>
          <w:rFonts w:hint="eastAsia" w:ascii="仿宋" w:hAnsi="仿宋" w:eastAsia="仿宋" w:cs="仿宋"/>
          <w:color w:val="auto"/>
          <w:szCs w:val="24"/>
          <w:highlight w:val="none"/>
        </w:rPr>
      </w:pPr>
    </w:p>
    <w:p w14:paraId="58E1695A">
      <w:pPr>
        <w:pStyle w:val="9"/>
        <w:jc w:val="center"/>
        <w:rPr>
          <w:rFonts w:hint="eastAsia" w:ascii="仿宋" w:hAnsi="仿宋" w:eastAsia="仿宋" w:cs="仿宋"/>
          <w:highlight w:val="none"/>
          <w:lang w:eastAsia="zh-CN"/>
        </w:rPr>
      </w:pPr>
      <w:r>
        <w:rPr>
          <w:rFonts w:hint="eastAsia" w:ascii="仿宋" w:hAnsi="仿宋" w:eastAsia="仿宋" w:cs="仿宋"/>
          <w:color w:val="auto"/>
          <w:szCs w:val="24"/>
          <w:highlight w:val="none"/>
          <w:lang w:eastAsia="zh-CN"/>
        </w:rPr>
        <w:t>（</w:t>
      </w:r>
      <w:r>
        <w:rPr>
          <w:rFonts w:hint="eastAsia" w:ascii="仿宋" w:hAnsi="仿宋" w:eastAsia="仿宋" w:cs="仿宋"/>
          <w:i/>
          <w:iCs/>
          <w:color w:val="auto"/>
          <w:szCs w:val="24"/>
          <w:highlight w:val="none"/>
          <w:lang w:val="en-US" w:eastAsia="zh-CN"/>
        </w:rPr>
        <w:t>具体合同以采购人提供的对应项目模板为准</w:t>
      </w:r>
      <w:r>
        <w:rPr>
          <w:rFonts w:hint="eastAsia" w:ascii="仿宋" w:hAnsi="仿宋" w:eastAsia="仿宋" w:cs="仿宋"/>
          <w:color w:val="auto"/>
          <w:szCs w:val="24"/>
          <w:highlight w:val="none"/>
          <w:lang w:eastAsia="zh-CN"/>
        </w:rPr>
        <w:t>）</w:t>
      </w:r>
    </w:p>
    <w:p w14:paraId="51D12439">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287ED334">
      <w:pPr>
        <w:pStyle w:val="2"/>
        <w:numPr>
          <w:ilvl w:val="0"/>
          <w:numId w:val="2"/>
        </w:numPr>
        <w:rPr>
          <w:rFonts w:hint="eastAsia" w:ascii="仿宋" w:hAnsi="仿宋" w:eastAsia="仿宋" w:cs="仿宋"/>
          <w:color w:val="auto"/>
          <w:highlight w:val="none"/>
          <w:lang w:val="zh-TW"/>
        </w:rPr>
      </w:pPr>
      <w:bookmarkStart w:id="37" w:name="_Toc3085"/>
      <w:r>
        <w:rPr>
          <w:rFonts w:hint="eastAsia" w:ascii="仿宋" w:hAnsi="仿宋" w:eastAsia="仿宋" w:cs="仿宋"/>
          <w:color w:val="auto"/>
          <w:highlight w:val="none"/>
        </w:rPr>
        <w:t>项目需求</w:t>
      </w:r>
      <w:bookmarkEnd w:id="37"/>
    </w:p>
    <w:p w14:paraId="4963CE06">
      <w:pPr>
        <w:rPr>
          <w:rFonts w:hint="eastAsia" w:ascii="仿宋" w:hAnsi="仿宋" w:eastAsia="仿宋" w:cs="仿宋"/>
          <w:b/>
          <w:bCs/>
          <w:color w:val="auto"/>
          <w:sz w:val="21"/>
          <w:szCs w:val="21"/>
          <w:highlight w:val="none"/>
        </w:rPr>
      </w:pPr>
      <w:r>
        <w:rPr>
          <w:rFonts w:hint="eastAsia" w:ascii="仿宋" w:hAnsi="仿宋" w:eastAsia="仿宋" w:cs="仿宋"/>
          <w:b/>
          <w:bCs/>
          <w:color w:val="auto"/>
          <w:szCs w:val="24"/>
          <w:highlight w:val="none"/>
        </w:rPr>
        <w:t>一、采购需求</w:t>
      </w:r>
    </w:p>
    <w:p w14:paraId="3C69AAF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bookmarkStart w:id="38" w:name="_Toc19996"/>
      <w:r>
        <w:rPr>
          <w:rFonts w:hint="eastAsia" w:ascii="仿宋" w:hAnsi="仿宋" w:eastAsia="仿宋" w:cs="仿宋"/>
          <w:kern w:val="0"/>
          <w:sz w:val="24"/>
          <w:szCs w:val="24"/>
          <w:highlight w:val="none"/>
          <w:lang w:val="en-US" w:eastAsia="zh-CN"/>
        </w:rPr>
        <w:t>采购服务技术及商务要求（适用于 A、B 包）</w:t>
      </w:r>
    </w:p>
    <w:p w14:paraId="433CA461">
      <w:pPr>
        <w:pStyle w:val="9"/>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A包主要内容（</w:t>
      </w:r>
      <w:r>
        <w:rPr>
          <w:rFonts w:hint="eastAsia" w:ascii="宋体" w:hAnsi="宋体" w:cs="宋体"/>
          <w:kern w:val="0"/>
          <w:sz w:val="24"/>
          <w:highlight w:val="none"/>
        </w:rPr>
        <w:t>面向证券公司，选取为公司承销公司债</w:t>
      </w:r>
      <w:r>
        <w:rPr>
          <w:rFonts w:hint="eastAsia" w:ascii="宋体" w:hAnsi="宋体" w:cs="宋体"/>
          <w:kern w:val="0"/>
          <w:sz w:val="24"/>
          <w:highlight w:val="none"/>
          <w:lang w:eastAsia="zh-CN"/>
        </w:rPr>
        <w:t>、</w:t>
      </w:r>
      <w:r>
        <w:rPr>
          <w:rFonts w:hint="eastAsia" w:ascii="宋体" w:hAnsi="宋体" w:cs="宋体"/>
          <w:kern w:val="0"/>
          <w:sz w:val="24"/>
          <w:highlight w:val="none"/>
          <w:lang w:val="en-US" w:eastAsia="zh-CN"/>
        </w:rPr>
        <w:t>企业债</w:t>
      </w:r>
      <w:r>
        <w:rPr>
          <w:rFonts w:hint="eastAsia" w:ascii="宋体" w:hAnsi="宋体" w:cs="宋体"/>
          <w:kern w:val="0"/>
          <w:sz w:val="24"/>
          <w:highlight w:val="none"/>
        </w:rPr>
        <w:t>及债务融资工具</w:t>
      </w:r>
      <w:r>
        <w:rPr>
          <w:rFonts w:hint="eastAsia" w:ascii="宋体" w:hAnsi="宋体" w:cs="宋体"/>
          <w:kern w:val="0"/>
          <w:sz w:val="24"/>
          <w:highlight w:val="none"/>
          <w:lang w:val="en-US" w:eastAsia="zh-CN"/>
        </w:rPr>
        <w:t>等债券</w:t>
      </w:r>
      <w:r>
        <w:rPr>
          <w:rFonts w:hint="eastAsia" w:ascii="宋体" w:hAnsi="宋体" w:cs="宋体"/>
          <w:kern w:val="0"/>
          <w:sz w:val="24"/>
          <w:highlight w:val="none"/>
        </w:rPr>
        <w:t>的主承销商</w:t>
      </w:r>
      <w:r>
        <w:rPr>
          <w:rFonts w:hint="eastAsia" w:ascii="仿宋" w:hAnsi="仿宋" w:eastAsia="仿宋" w:cs="仿宋"/>
          <w:kern w:val="0"/>
          <w:sz w:val="24"/>
          <w:szCs w:val="24"/>
          <w:highlight w:val="none"/>
          <w:lang w:val="en-US" w:eastAsia="zh-CN"/>
        </w:rPr>
        <w:t>）</w:t>
      </w:r>
    </w:p>
    <w:p w14:paraId="13458D1C">
      <w:pPr>
        <w:pStyle w:val="9"/>
        <w:rPr>
          <w:rFonts w:hint="eastAsia" w:ascii="仿宋" w:hAnsi="仿宋" w:eastAsia="仿宋" w:cs="仿宋"/>
          <w:highlight w:val="none"/>
          <w:lang w:val="en-US" w:eastAsia="zh-CN"/>
        </w:rPr>
      </w:pPr>
      <w:r>
        <w:rPr>
          <w:rFonts w:hint="eastAsia" w:ascii="仿宋" w:hAnsi="仿宋" w:eastAsia="仿宋" w:cs="仿宋"/>
          <w:kern w:val="0"/>
          <w:sz w:val="24"/>
          <w:szCs w:val="24"/>
          <w:highlight w:val="none"/>
          <w:lang w:val="en-US" w:eastAsia="zh-CN"/>
        </w:rPr>
        <w:t>B包主要内容（</w:t>
      </w:r>
      <w:r>
        <w:rPr>
          <w:rFonts w:hint="eastAsia" w:ascii="宋体" w:hAnsi="宋体" w:cs="宋体"/>
          <w:kern w:val="0"/>
          <w:sz w:val="24"/>
          <w:highlight w:val="none"/>
        </w:rPr>
        <w:t>面向银行，选取为公司承销债务融资工具</w:t>
      </w:r>
      <w:r>
        <w:rPr>
          <w:rFonts w:hint="eastAsia" w:ascii="宋体" w:hAnsi="宋体" w:cs="宋体"/>
          <w:kern w:val="0"/>
          <w:sz w:val="24"/>
          <w:highlight w:val="none"/>
          <w:lang w:val="en-US" w:eastAsia="zh-CN"/>
        </w:rPr>
        <w:t>等债券</w:t>
      </w:r>
      <w:r>
        <w:rPr>
          <w:rFonts w:hint="eastAsia" w:ascii="宋体" w:hAnsi="宋体" w:cs="宋体"/>
          <w:kern w:val="0"/>
          <w:sz w:val="24"/>
          <w:highlight w:val="none"/>
        </w:rPr>
        <w:t>的主承销商</w:t>
      </w:r>
      <w:r>
        <w:rPr>
          <w:rFonts w:hint="eastAsia" w:ascii="仿宋" w:hAnsi="仿宋" w:eastAsia="仿宋" w:cs="仿宋"/>
          <w:kern w:val="0"/>
          <w:sz w:val="24"/>
          <w:szCs w:val="24"/>
          <w:highlight w:val="none"/>
          <w:lang w:val="en-US" w:eastAsia="zh-CN"/>
        </w:rPr>
        <w:t>）</w:t>
      </w:r>
    </w:p>
    <w:p w14:paraId="356E0330">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一、技术要求</w:t>
      </w:r>
    </w:p>
    <w:p w14:paraId="6BB0126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（一）服务商须提供符合国家标准的服务</w:t>
      </w:r>
    </w:p>
    <w:p w14:paraId="78F568B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本征集文件提出的是最低限度的要求，响应服务商的方案应达到或优于本征集文件要求，且符合国家有关标准和规范要求，低于征集文件要求的，响应无效。</w:t>
      </w:r>
    </w:p>
    <w:p w14:paraId="389C19E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（二）服务要求</w:t>
      </w:r>
    </w:p>
    <w:p w14:paraId="36B7B95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 、融资咨询服务</w:t>
      </w:r>
    </w:p>
    <w:p w14:paraId="72AF73C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（1）为发行人提供融资咨询服务；</w:t>
      </w:r>
    </w:p>
    <w:p w14:paraId="32A3ACFD">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（2）核查发行人的运营状况，包括公司运营资质、历史沿革、治理结构、业务情况和财务状况等；</w:t>
      </w:r>
    </w:p>
    <w:p w14:paraId="3DD047A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（3）对发行</w:t>
      </w:r>
      <w:r>
        <w:rPr>
          <w:rFonts w:hint="eastAsia" w:ascii="仿宋" w:hAnsi="仿宋" w:cs="仿宋"/>
          <w:kern w:val="0"/>
          <w:sz w:val="24"/>
          <w:szCs w:val="24"/>
          <w:highlight w:val="none"/>
          <w:lang w:val="en-US" w:eastAsia="zh-CN"/>
        </w:rPr>
        <w:t>不同品种债券</w:t>
      </w:r>
      <w:r>
        <w:rPr>
          <w:rFonts w:hint="eastAsia" w:ascii="仿宋" w:hAnsi="仿宋" w:eastAsia="仿宋" w:cs="仿宋"/>
          <w:kern w:val="0"/>
          <w:sz w:val="24"/>
          <w:szCs w:val="24"/>
          <w:highlight w:val="none"/>
          <w:lang w:val="en-US" w:eastAsia="zh-CN"/>
        </w:rPr>
        <w:t>的规范性、可行性提供建议。</w:t>
      </w:r>
    </w:p>
    <w:p w14:paraId="78EE3C2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 、申报材料编制及协助申报服务</w:t>
      </w:r>
    </w:p>
    <w:p w14:paraId="0E60791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（1）负责协助发行人编制主管机构要求的必要文件；</w:t>
      </w:r>
    </w:p>
    <w:p w14:paraId="62B3FE2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（2）负责统筹申报工作，包括拟定工作时间表，协调审计机构、律师事务所、信用评级公司等中介机构的工作进度等；</w:t>
      </w:r>
    </w:p>
    <w:p w14:paraId="34E51B5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（3）协助发行人设计发行方案，包括：发行规模、发行期限、发行方式、发行窗口；</w:t>
      </w:r>
    </w:p>
    <w:p w14:paraId="5FF9B629">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（4）协助发行人向各级主管机构申报。</w:t>
      </w:r>
    </w:p>
    <w:p w14:paraId="074DDE8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 、发行及存续期服务</w:t>
      </w:r>
    </w:p>
    <w:p w14:paraId="35BE35D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（1）项目获批后，协助采购单位安排合适的时间择机发行；</w:t>
      </w:r>
    </w:p>
    <w:p w14:paraId="0AAB550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（2）提醒、督促采购单位按时筹措资金、还本付息并按规定对有关情况及时进行信息披露；</w:t>
      </w:r>
    </w:p>
    <w:p w14:paraId="1B216030">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（3）除定期的相关信息披露外，在存续期内协助采购单位就影响本项目的外部因素、不可抗力及发行人自身因素引起的重大变化或重大事项，根据监管机构要求及时进行信息披露。</w:t>
      </w:r>
    </w:p>
    <w:p w14:paraId="5D85D9F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cs="仿宋"/>
          <w:kern w:val="0"/>
          <w:sz w:val="24"/>
          <w:szCs w:val="24"/>
          <w:highlight w:val="none"/>
          <w:lang w:val="en-US" w:eastAsia="zh-CN"/>
        </w:rPr>
      </w:pPr>
      <w:r>
        <w:rPr>
          <w:rFonts w:hint="eastAsia" w:ascii="仿宋" w:hAnsi="仿宋" w:cs="仿宋"/>
          <w:kern w:val="0"/>
          <w:sz w:val="24"/>
          <w:szCs w:val="24"/>
          <w:highlight w:val="none"/>
          <w:lang w:val="en-US" w:eastAsia="zh-CN"/>
        </w:rPr>
        <w:t>4、人员配置</w:t>
      </w:r>
    </w:p>
    <w:p w14:paraId="5CF9F27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default" w:ascii="仿宋" w:hAnsi="仿宋" w:cs="仿宋"/>
          <w:kern w:val="0"/>
          <w:sz w:val="24"/>
          <w:szCs w:val="24"/>
          <w:highlight w:val="none"/>
          <w:lang w:val="en-US" w:eastAsia="zh-CN"/>
        </w:rPr>
      </w:pPr>
      <w:r>
        <w:rPr>
          <w:rFonts w:hint="eastAsia" w:ascii="宋体" w:hAnsi="宋体"/>
          <w:color w:val="auto"/>
          <w:highlight w:val="none"/>
          <w:lang w:val="en-US" w:eastAsia="zh-CN"/>
        </w:rPr>
        <w:t>不得少于4人，其中至少包含1名项目负责人、3名执行人员，且项目负责人从事债券行业5年以上。执行人员驻场工作时间累计满60个小时，且项目负责人驻场工作时间不低于30个小时。</w:t>
      </w:r>
    </w:p>
    <w:p w14:paraId="58E6E52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二、商务要求</w:t>
      </w:r>
    </w:p>
    <w:p w14:paraId="1F533A3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 、入选期限：三年；</w:t>
      </w:r>
    </w:p>
    <w:p w14:paraId="69E7149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 、发行项目的分配方式：由采购单位根据</w:t>
      </w:r>
      <w:r>
        <w:rPr>
          <w:rFonts w:hint="eastAsia" w:ascii="仿宋" w:hAnsi="仿宋" w:cs="仿宋"/>
          <w:kern w:val="0"/>
          <w:sz w:val="24"/>
          <w:szCs w:val="24"/>
          <w:highlight w:val="none"/>
          <w:lang w:val="en-US" w:eastAsia="zh-CN"/>
        </w:rPr>
        <w:t>二阶段询比采购</w:t>
      </w:r>
      <w:r>
        <w:rPr>
          <w:rFonts w:hint="eastAsia" w:ascii="仿宋" w:hAnsi="仿宋" w:eastAsia="仿宋" w:cs="仿宋"/>
          <w:kern w:val="0"/>
          <w:sz w:val="24"/>
          <w:szCs w:val="24"/>
          <w:highlight w:val="none"/>
          <w:lang w:val="en-US" w:eastAsia="zh-CN"/>
        </w:rPr>
        <w:t>确定。</w:t>
      </w:r>
    </w:p>
    <w:p w14:paraId="6578304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 、合同的签订：具体项目的承销合同与发行人签订。</w:t>
      </w:r>
    </w:p>
    <w:p w14:paraId="09A8365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4 、响应服务商的报价成本须包含：承销费用，不包括债券发行成功后的年度审计费用、跟踪评级费用等其他费用。本次报价不为实际的最终价格，具体价格以实际业务二</w:t>
      </w:r>
      <w:r>
        <w:rPr>
          <w:rFonts w:hint="eastAsia" w:ascii="仿宋" w:hAnsi="仿宋" w:cs="仿宋"/>
          <w:kern w:val="0"/>
          <w:sz w:val="24"/>
          <w:szCs w:val="24"/>
          <w:highlight w:val="none"/>
          <w:lang w:val="en-US" w:eastAsia="zh-CN"/>
        </w:rPr>
        <w:t>阶段</w:t>
      </w:r>
      <w:r>
        <w:rPr>
          <w:rFonts w:hint="eastAsia" w:ascii="仿宋" w:hAnsi="仿宋" w:eastAsia="仿宋" w:cs="仿宋"/>
          <w:kern w:val="0"/>
          <w:sz w:val="24"/>
          <w:szCs w:val="24"/>
          <w:highlight w:val="none"/>
          <w:lang w:val="en-US" w:eastAsia="zh-CN"/>
        </w:rPr>
        <w:t>报价为准，但二</w:t>
      </w:r>
      <w:r>
        <w:rPr>
          <w:rFonts w:hint="eastAsia" w:ascii="仿宋" w:hAnsi="仿宋" w:cs="仿宋"/>
          <w:kern w:val="0"/>
          <w:sz w:val="24"/>
          <w:szCs w:val="24"/>
          <w:highlight w:val="none"/>
          <w:lang w:val="en-US" w:eastAsia="zh-CN"/>
        </w:rPr>
        <w:t>阶段</w:t>
      </w:r>
      <w:r>
        <w:rPr>
          <w:rFonts w:hint="eastAsia" w:ascii="仿宋" w:hAnsi="仿宋" w:eastAsia="仿宋" w:cs="仿宋"/>
          <w:kern w:val="0"/>
          <w:sz w:val="24"/>
          <w:szCs w:val="24"/>
          <w:highlight w:val="none"/>
          <w:lang w:val="en-US" w:eastAsia="zh-CN"/>
        </w:rPr>
        <w:t>报价须低于此次的报价。</w:t>
      </w:r>
    </w:p>
    <w:p w14:paraId="0D15E0C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0" w:firstLineChars="0"/>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5、</w:t>
      </w:r>
      <w:r>
        <w:rPr>
          <w:rFonts w:hint="eastAsia" w:ascii="仿宋" w:hAnsi="仿宋" w:eastAsia="仿宋" w:cs="仿宋"/>
          <w:kern w:val="0"/>
          <w:sz w:val="24"/>
          <w:szCs w:val="24"/>
          <w:highlight w:val="none"/>
          <w:lang w:val="en-US" w:eastAsia="zh-CN"/>
        </w:rPr>
        <w:t>本项目要求按照</w:t>
      </w:r>
      <w:r>
        <w:rPr>
          <w:rFonts w:hint="eastAsia" w:ascii="仿宋" w:hAnsi="仿宋" w:cs="仿宋"/>
          <w:kern w:val="0"/>
          <w:sz w:val="24"/>
          <w:szCs w:val="24"/>
          <w:highlight w:val="none"/>
          <w:lang w:val="en-US" w:eastAsia="zh-CN"/>
        </w:rPr>
        <w:t>费率</w:t>
      </w:r>
      <w:r>
        <w:rPr>
          <w:rFonts w:hint="eastAsia" w:ascii="仿宋" w:hAnsi="仿宋" w:eastAsia="仿宋" w:cs="仿宋"/>
          <w:kern w:val="0"/>
          <w:sz w:val="24"/>
          <w:szCs w:val="24"/>
          <w:highlight w:val="none"/>
          <w:lang w:val="en-US" w:eastAsia="zh-CN"/>
        </w:rPr>
        <w:t>报价，</w:t>
      </w:r>
      <w:r>
        <w:rPr>
          <w:rFonts w:hint="eastAsia" w:ascii="仿宋" w:hAnsi="仿宋" w:cs="仿宋"/>
          <w:color w:val="auto"/>
          <w:szCs w:val="24"/>
          <w:highlight w:val="none"/>
          <w:lang w:val="en-US" w:eastAsia="zh-CN"/>
        </w:rPr>
        <w:t>不得</w:t>
      </w:r>
      <w:r>
        <w:rPr>
          <w:rFonts w:hint="eastAsia" w:ascii="仿宋" w:hAnsi="仿宋" w:eastAsia="仿宋" w:cs="仿宋"/>
          <w:color w:val="auto"/>
          <w:szCs w:val="24"/>
          <w:highlight w:val="none"/>
          <w:lang w:val="en-US" w:eastAsia="zh-CN"/>
        </w:rPr>
        <w:t>高于</w:t>
      </w:r>
      <w:r>
        <w:rPr>
          <w:rFonts w:hint="eastAsia" w:ascii="仿宋" w:hAnsi="仿宋" w:eastAsia="仿宋" w:cs="仿宋"/>
          <w:color w:val="auto"/>
          <w:szCs w:val="24"/>
          <w:highlight w:val="none"/>
          <w:lang w:eastAsia="zh-CN"/>
        </w:rPr>
        <w:t>0.8</w:t>
      </w:r>
      <w:r>
        <w:rPr>
          <w:rFonts w:hint="eastAsia" w:ascii="仿宋" w:hAnsi="仿宋" w:eastAsia="仿宋" w:cs="仿宋"/>
          <w:color w:val="auto"/>
          <w:szCs w:val="24"/>
          <w:highlight w:val="none"/>
          <w:lang w:val="en-US" w:eastAsia="zh-CN"/>
        </w:rPr>
        <w:t>‰/年</w:t>
      </w:r>
      <w:r>
        <w:rPr>
          <w:rFonts w:hint="eastAsia"/>
          <w:highlight w:val="none"/>
          <w:lang w:eastAsia="zh-CN"/>
        </w:rPr>
        <w:t>。承销费=承销费率*发行金额*发行期限（</w:t>
      </w:r>
      <w:r>
        <w:rPr>
          <w:rFonts w:hint="eastAsia"/>
          <w:highlight w:val="none"/>
          <w:lang w:val="en-US" w:eastAsia="zh-CN"/>
        </w:rPr>
        <w:t>年</w:t>
      </w:r>
      <w:r>
        <w:rPr>
          <w:rFonts w:hint="eastAsia"/>
          <w:highlight w:val="none"/>
          <w:lang w:eastAsia="zh-CN"/>
        </w:rPr>
        <w:t>）。</w:t>
      </w:r>
    </w:p>
    <w:p w14:paraId="7F8D9ED9">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6</w:t>
      </w:r>
      <w:r>
        <w:rPr>
          <w:rFonts w:hint="eastAsia" w:ascii="仿宋" w:hAnsi="仿宋" w:eastAsia="仿宋" w:cs="仿宋"/>
          <w:kern w:val="0"/>
          <w:sz w:val="24"/>
          <w:szCs w:val="24"/>
          <w:highlight w:val="none"/>
          <w:lang w:val="en-US" w:eastAsia="zh-CN"/>
        </w:rPr>
        <w:t xml:space="preserve"> 、服务地点、时间：</w:t>
      </w:r>
    </w:p>
    <w:p w14:paraId="6B62A86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服务地点：发行人的指定地点。</w:t>
      </w:r>
    </w:p>
    <w:p w14:paraId="69D7FC8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服务时间：</w:t>
      </w:r>
      <w:r>
        <w:rPr>
          <w:rFonts w:hint="eastAsia" w:ascii="仿宋" w:hAnsi="仿宋" w:cs="仿宋"/>
          <w:szCs w:val="24"/>
          <w:highlight w:val="none"/>
        </w:rPr>
        <w:t>需要在具体项目中选后24小时内到达发行人所在地点并开始提供服务。</w:t>
      </w:r>
      <w:r>
        <w:rPr>
          <w:rFonts w:hint="eastAsia" w:ascii="仿宋" w:hAnsi="仿宋" w:eastAsia="仿宋" w:cs="仿宋"/>
          <w:kern w:val="0"/>
          <w:sz w:val="24"/>
          <w:szCs w:val="24"/>
          <w:highlight w:val="none"/>
          <w:lang w:val="en-US" w:eastAsia="zh-CN"/>
        </w:rPr>
        <w:t>。</w:t>
      </w:r>
    </w:p>
    <w:p w14:paraId="65A7665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7</w:t>
      </w:r>
      <w:r>
        <w:rPr>
          <w:rFonts w:hint="eastAsia" w:ascii="仿宋" w:hAnsi="仿宋" w:eastAsia="仿宋" w:cs="仿宋"/>
          <w:kern w:val="0"/>
          <w:sz w:val="24"/>
          <w:szCs w:val="24"/>
          <w:highlight w:val="none"/>
          <w:lang w:val="en-US" w:eastAsia="zh-CN"/>
        </w:rPr>
        <w:t xml:space="preserve"> 、成交方在项目实施或服务过程中发生的重大人员、产品事故，或因成交企业管理不善等原因造成的人员伤亡等责任事故均由成交方负责，采购人不承担任何法律及经济责任。</w:t>
      </w:r>
    </w:p>
    <w:p w14:paraId="382EBA2F">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r>
        <w:rPr>
          <w:rFonts w:hint="eastAsia" w:ascii="仿宋" w:hAnsi="仿宋" w:cs="仿宋"/>
          <w:kern w:val="0"/>
          <w:sz w:val="24"/>
          <w:szCs w:val="24"/>
          <w:highlight w:val="none"/>
          <w:lang w:val="en-US" w:eastAsia="zh-CN"/>
        </w:rPr>
        <w:t>8</w:t>
      </w:r>
      <w:r>
        <w:rPr>
          <w:rFonts w:hint="eastAsia" w:ascii="仿宋" w:hAnsi="仿宋" w:eastAsia="仿宋" w:cs="仿宋"/>
          <w:kern w:val="0"/>
          <w:sz w:val="24"/>
          <w:szCs w:val="24"/>
          <w:highlight w:val="none"/>
          <w:lang w:val="en-US" w:eastAsia="zh-CN"/>
        </w:rPr>
        <w:t>、技术未尽事宜，请与吉安城投控股集团有限公司联系。</w:t>
      </w:r>
    </w:p>
    <w:p w14:paraId="5DB1953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315E15E4">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0153EE1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135962E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6A3BE56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5EDE1F1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kern w:val="0"/>
          <w:sz w:val="24"/>
          <w:szCs w:val="24"/>
          <w:highlight w:val="none"/>
          <w:lang w:val="en-US" w:eastAsia="zh-CN"/>
        </w:rPr>
      </w:pPr>
    </w:p>
    <w:p w14:paraId="1A015CB5">
      <w:pPr>
        <w:pStyle w:val="19"/>
        <w:keepNext w:val="0"/>
        <w:keepLines w:val="0"/>
        <w:widowControl/>
        <w:suppressLineNumbers w:val="0"/>
        <w:shd w:val="clear" w:fill="FFFFFF"/>
        <w:spacing w:before="240" w:beforeAutospacing="0" w:after="240" w:afterAutospacing="0"/>
        <w:ind w:left="0" w:right="0" w:firstLine="0"/>
        <w:jc w:val="center"/>
        <w:rPr>
          <w:rFonts w:hint="eastAsia" w:ascii="方正小标宋简体" w:hAnsi="方正小标宋简体" w:eastAsia="方正小标宋简体" w:cs="方正小标宋简体"/>
          <w:i w:val="0"/>
          <w:iCs w:val="0"/>
          <w:caps w:val="0"/>
          <w:color w:val="0F1115"/>
          <w:spacing w:val="0"/>
          <w:sz w:val="44"/>
          <w:szCs w:val="44"/>
          <w:highlight w:val="none"/>
        </w:rPr>
      </w:pPr>
      <w:bookmarkStart w:id="58" w:name="_GoBack"/>
      <w:r>
        <w:rPr>
          <w:rFonts w:hint="eastAsia" w:ascii="方正小标宋简体" w:hAnsi="方正小标宋简体" w:eastAsia="方正小标宋简体" w:cs="方正小标宋简体"/>
          <w:b/>
          <w:bCs/>
          <w:i w:val="0"/>
          <w:iCs w:val="0"/>
          <w:caps w:val="0"/>
          <w:color w:val="0F1115"/>
          <w:spacing w:val="0"/>
          <w:sz w:val="44"/>
          <w:szCs w:val="44"/>
          <w:highlight w:val="none"/>
          <w:shd w:val="clear" w:fill="FFFFFF"/>
          <w:lang w:val="en-US" w:eastAsia="zh-CN"/>
        </w:rPr>
        <w:t>框架内承销商</w:t>
      </w:r>
      <w:r>
        <w:rPr>
          <w:rFonts w:hint="eastAsia" w:ascii="方正小标宋简体" w:hAnsi="方正小标宋简体" w:eastAsia="方正小标宋简体" w:cs="方正小标宋简体"/>
          <w:b/>
          <w:bCs/>
          <w:i w:val="0"/>
          <w:iCs w:val="0"/>
          <w:caps w:val="0"/>
          <w:color w:val="0F1115"/>
          <w:spacing w:val="0"/>
          <w:sz w:val="44"/>
          <w:szCs w:val="44"/>
          <w:highlight w:val="none"/>
          <w:shd w:val="clear" w:fill="FFFFFF"/>
        </w:rPr>
        <w:t>管理细则</w:t>
      </w:r>
    </w:p>
    <w:p w14:paraId="2FEE35FD">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i w:val="0"/>
          <w:iCs w:val="0"/>
          <w:caps w:val="0"/>
          <w:color w:val="0F1115"/>
          <w:spacing w:val="0"/>
          <w:sz w:val="24"/>
          <w:szCs w:val="24"/>
          <w:highlight w:val="none"/>
        </w:rPr>
      </w:pPr>
      <w:r>
        <w:rPr>
          <w:rFonts w:hint="eastAsia" w:ascii="仿宋_GB2312" w:hAnsi="仿宋_GB2312" w:eastAsia="仿宋_GB2312" w:cs="仿宋_GB2312"/>
          <w:b/>
          <w:bCs/>
          <w:i w:val="0"/>
          <w:iCs w:val="0"/>
          <w:caps w:val="0"/>
          <w:color w:val="0F1115"/>
          <w:spacing w:val="0"/>
          <w:sz w:val="24"/>
          <w:szCs w:val="24"/>
          <w:highlight w:val="none"/>
          <w:shd w:val="clear" w:fill="FFFFFF"/>
        </w:rPr>
        <w:t>第一章 总则</w:t>
      </w:r>
    </w:p>
    <w:p w14:paraId="14CC54DB">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第一条</w:t>
      </w:r>
      <w:r>
        <w:rPr>
          <w:rFonts w:hint="eastAsia" w:ascii="仿宋_GB2312" w:hAnsi="仿宋_GB2312" w:eastAsia="仿宋_GB2312" w:cs="仿宋_GB2312"/>
          <w:i w:val="0"/>
          <w:iCs w:val="0"/>
          <w:caps w:val="0"/>
          <w:color w:val="0F1115"/>
          <w:spacing w:val="0"/>
          <w:sz w:val="24"/>
          <w:szCs w:val="24"/>
          <w:highlight w:val="none"/>
          <w:shd w:val="clear" w:fill="FFFFFF"/>
        </w:rPr>
        <w:t> 目的与依据</w:t>
      </w:r>
    </w:p>
    <w:p w14:paraId="2A9F0966">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rPr>
        <w:t>为规范</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框架协议内债券承销服务商</w:t>
      </w:r>
      <w:r>
        <w:rPr>
          <w:rFonts w:hint="eastAsia" w:ascii="仿宋_GB2312" w:hAnsi="仿宋_GB2312" w:eastAsia="仿宋_GB2312" w:cs="仿宋_GB2312"/>
          <w:i w:val="0"/>
          <w:iCs w:val="0"/>
          <w:caps w:val="0"/>
          <w:color w:val="0F1115"/>
          <w:spacing w:val="0"/>
          <w:sz w:val="24"/>
          <w:szCs w:val="24"/>
          <w:highlight w:val="none"/>
          <w:shd w:val="clear" w:fill="FFFFFF"/>
        </w:rPr>
        <w:t>的管理，提升债券发行承销与存续期服务质量，建立科学、公正、动态调整的合作机制，依据公司相关采购管理制度</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制定本细则。</w:t>
      </w:r>
    </w:p>
    <w:p w14:paraId="3B71BC22">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第二条</w:t>
      </w:r>
      <w:r>
        <w:rPr>
          <w:rFonts w:hint="eastAsia" w:ascii="仿宋_GB2312" w:hAnsi="仿宋_GB2312" w:eastAsia="仿宋_GB2312" w:cs="仿宋_GB2312"/>
          <w:i w:val="0"/>
          <w:iCs w:val="0"/>
          <w:caps w:val="0"/>
          <w:color w:val="0F1115"/>
          <w:spacing w:val="0"/>
          <w:sz w:val="24"/>
          <w:szCs w:val="24"/>
          <w:highlight w:val="none"/>
          <w:shd w:val="clear" w:fill="FFFFFF"/>
        </w:rPr>
        <w:t> 适用范围</w:t>
      </w:r>
    </w:p>
    <w:p w14:paraId="627E2DFD">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rPr>
      </w:pPr>
      <w:r>
        <w:rPr>
          <w:rFonts w:hint="eastAsia" w:ascii="仿宋_GB2312" w:hAnsi="仿宋_GB2312" w:eastAsia="仿宋_GB2312" w:cs="仿宋_GB2312"/>
          <w:i w:val="0"/>
          <w:iCs w:val="0"/>
          <w:caps w:val="0"/>
          <w:color w:val="0F1115"/>
          <w:spacing w:val="0"/>
          <w:sz w:val="24"/>
          <w:szCs w:val="24"/>
          <w:highlight w:val="none"/>
          <w:shd w:val="clear" w:fill="FFFFFF"/>
        </w:rPr>
        <w:t>本细则适用于</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框架协议内</w:t>
      </w:r>
      <w:r>
        <w:rPr>
          <w:rFonts w:hint="eastAsia" w:ascii="仿宋_GB2312" w:hAnsi="仿宋_GB2312" w:eastAsia="仿宋_GB2312" w:cs="仿宋_GB2312"/>
          <w:i w:val="0"/>
          <w:iCs w:val="0"/>
          <w:caps w:val="0"/>
          <w:color w:val="0F1115"/>
          <w:spacing w:val="0"/>
          <w:sz w:val="24"/>
          <w:szCs w:val="24"/>
          <w:highlight w:val="none"/>
          <w:shd w:val="clear" w:fill="FFFFFF"/>
        </w:rPr>
        <w:t>所有承销商的管理、评价与退出工作。</w:t>
      </w:r>
    </w:p>
    <w:p w14:paraId="6C886E86">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第三条</w:t>
      </w:r>
      <w:r>
        <w:rPr>
          <w:rFonts w:hint="eastAsia" w:ascii="仿宋_GB2312" w:hAnsi="仿宋_GB2312" w:eastAsia="仿宋_GB2312" w:cs="仿宋_GB2312"/>
          <w:i w:val="0"/>
          <w:iCs w:val="0"/>
          <w:caps w:val="0"/>
          <w:color w:val="0F1115"/>
          <w:spacing w:val="0"/>
          <w:sz w:val="24"/>
          <w:szCs w:val="24"/>
          <w:highlight w:val="none"/>
          <w:shd w:val="clear" w:fill="FFFFFF"/>
        </w:rPr>
        <w:t> 管理原则</w:t>
      </w:r>
    </w:p>
    <w:p w14:paraId="4F420F40">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一</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突出效益原则： </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服务商</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应</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根据</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采购方</w:t>
      </w:r>
      <w:r>
        <w:rPr>
          <w:rFonts w:hint="eastAsia" w:ascii="仿宋_GB2312" w:hAnsi="仿宋_GB2312" w:eastAsia="仿宋_GB2312" w:cs="仿宋_GB2312"/>
          <w:i w:val="0"/>
          <w:iCs w:val="0"/>
          <w:caps w:val="0"/>
          <w:color w:val="0F1115"/>
          <w:spacing w:val="0"/>
          <w:sz w:val="24"/>
          <w:szCs w:val="24"/>
          <w:highlight w:val="none"/>
          <w:shd w:val="clear" w:fill="FFFFFF"/>
          <w:lang w:eastAsia="zh-CN"/>
        </w:rPr>
        <w:t>的实际需求，遵循效益优先、股东利益最大化、风险降至最低的原则，努力</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协助采购方</w:t>
      </w:r>
      <w:r>
        <w:rPr>
          <w:rFonts w:hint="eastAsia" w:ascii="仿宋_GB2312" w:hAnsi="仿宋_GB2312" w:eastAsia="仿宋_GB2312" w:cs="仿宋_GB2312"/>
          <w:i w:val="0"/>
          <w:iCs w:val="0"/>
          <w:caps w:val="0"/>
          <w:color w:val="0F1115"/>
          <w:spacing w:val="0"/>
          <w:sz w:val="24"/>
          <w:szCs w:val="24"/>
          <w:highlight w:val="none"/>
          <w:shd w:val="clear" w:fill="FFFFFF"/>
          <w:lang w:eastAsia="zh-CN"/>
        </w:rPr>
        <w:t>实现投资结构最优化和效益最佳化。</w:t>
      </w:r>
    </w:p>
    <w:p w14:paraId="5B52A1A5">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lang w:val="en-US"/>
        </w:rPr>
      </w:pP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（二）专业性</w:t>
      </w:r>
      <w:r>
        <w:rPr>
          <w:rFonts w:hint="eastAsia" w:ascii="仿宋_GB2312" w:hAnsi="仿宋_GB2312" w:eastAsia="仿宋_GB2312" w:cs="仿宋_GB2312"/>
          <w:i w:val="0"/>
          <w:iCs w:val="0"/>
          <w:caps w:val="0"/>
          <w:color w:val="0F1115"/>
          <w:spacing w:val="0"/>
          <w:sz w:val="24"/>
          <w:szCs w:val="24"/>
          <w:highlight w:val="none"/>
          <w:shd w:val="clear" w:fill="FFFFFF"/>
        </w:rPr>
        <w:t>原则： </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服务商应具备和业务领域相关的专业匹配度，熟悉国资监管要求；核心团队成员具备应有的专业资质和从业经验；能够制定详细的尽调或可研工作规范。</w:t>
      </w:r>
    </w:p>
    <w:p w14:paraId="21E40478">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lang w:val="en-US"/>
        </w:rPr>
      </w:pP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（三）独立性</w:t>
      </w:r>
      <w:r>
        <w:rPr>
          <w:rFonts w:hint="eastAsia" w:ascii="仿宋_GB2312" w:hAnsi="仿宋_GB2312" w:eastAsia="仿宋_GB2312" w:cs="仿宋_GB2312"/>
          <w:i w:val="0"/>
          <w:iCs w:val="0"/>
          <w:caps w:val="0"/>
          <w:color w:val="0F1115"/>
          <w:spacing w:val="0"/>
          <w:sz w:val="24"/>
          <w:szCs w:val="24"/>
          <w:highlight w:val="none"/>
          <w:shd w:val="clear" w:fill="FFFFFF"/>
        </w:rPr>
        <w:t>原则： 尽调和可研咨询意见</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需</w:t>
      </w:r>
      <w:r>
        <w:rPr>
          <w:rFonts w:hint="eastAsia" w:ascii="仿宋_GB2312" w:hAnsi="仿宋_GB2312" w:eastAsia="仿宋_GB2312" w:cs="仿宋_GB2312"/>
          <w:i w:val="0"/>
          <w:iCs w:val="0"/>
          <w:caps w:val="0"/>
          <w:color w:val="0F1115"/>
          <w:spacing w:val="0"/>
          <w:sz w:val="24"/>
          <w:szCs w:val="24"/>
          <w:highlight w:val="none"/>
          <w:shd w:val="clear" w:fill="FFFFFF"/>
        </w:rPr>
        <w:t>客观、公正</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编制的报告需</w:t>
      </w:r>
      <w:r>
        <w:rPr>
          <w:rFonts w:hint="eastAsia" w:ascii="仿宋_GB2312" w:hAnsi="仿宋_GB2312" w:eastAsia="仿宋_GB2312" w:cs="仿宋_GB2312"/>
          <w:i w:val="0"/>
          <w:iCs w:val="0"/>
          <w:caps w:val="0"/>
          <w:color w:val="0F1115"/>
          <w:spacing w:val="0"/>
          <w:sz w:val="24"/>
          <w:szCs w:val="24"/>
          <w:highlight w:val="none"/>
          <w:shd w:val="clear" w:fill="FFFFFF"/>
          <w:lang w:eastAsia="zh-CN"/>
        </w:rPr>
        <w:t>签署独立性声明，承诺在服务过程中不受任何外部因素干扰，独立开展工作。 工作执行过程中，确保能够独立获取信息、分析问题并出具意见。</w:t>
      </w:r>
    </w:p>
    <w:p w14:paraId="75E4E00A">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i w:val="0"/>
          <w:iCs w:val="0"/>
          <w:caps w:val="0"/>
          <w:color w:val="0F1115"/>
          <w:spacing w:val="0"/>
          <w:sz w:val="24"/>
          <w:szCs w:val="24"/>
          <w:highlight w:val="none"/>
          <w:shd w:val="clear" w:fill="FFFFFF"/>
        </w:rPr>
      </w:pP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四</w:t>
      </w:r>
      <w:r>
        <w:rPr>
          <w:rFonts w:hint="eastAsia" w:ascii="仿宋_GB2312" w:hAnsi="仿宋_GB2312" w:eastAsia="仿宋_GB2312" w:cs="仿宋_GB2312"/>
          <w:i w:val="0"/>
          <w:iCs w:val="0"/>
          <w:caps w:val="0"/>
          <w:color w:val="0F1115"/>
          <w:spacing w:val="0"/>
          <w:sz w:val="24"/>
          <w:szCs w:val="24"/>
          <w:highlight w:val="none"/>
          <w:shd w:val="clear" w:fill="FFFFFF"/>
          <w:lang w:eastAsia="zh-CN"/>
        </w:rPr>
        <w:t>）</w:t>
      </w:r>
      <w:r>
        <w:rPr>
          <w:rFonts w:hint="eastAsia" w:ascii="仿宋_GB2312" w:hAnsi="仿宋_GB2312" w:eastAsia="仿宋_GB2312" w:cs="仿宋_GB2312"/>
          <w:i w:val="0"/>
          <w:iCs w:val="0"/>
          <w:caps w:val="0"/>
          <w:color w:val="0F1115"/>
          <w:spacing w:val="0"/>
          <w:sz w:val="24"/>
          <w:szCs w:val="24"/>
          <w:highlight w:val="none"/>
          <w:shd w:val="clear" w:fill="FFFFFF"/>
        </w:rPr>
        <w:t>动态管理原则：对协议</w:t>
      </w:r>
      <w:r>
        <w:rPr>
          <w:rFonts w:hint="eastAsia" w:ascii="仿宋_GB2312" w:hAnsi="仿宋_GB2312" w:eastAsia="仿宋_GB2312" w:cs="仿宋_GB2312"/>
          <w:i w:val="0"/>
          <w:iCs w:val="0"/>
          <w:caps w:val="0"/>
          <w:color w:val="0F1115"/>
          <w:spacing w:val="0"/>
          <w:sz w:val="24"/>
          <w:szCs w:val="24"/>
          <w:highlight w:val="none"/>
          <w:shd w:val="clear" w:fill="FFFFFF"/>
          <w:lang w:eastAsia="zh-CN"/>
        </w:rPr>
        <w:t>服务商</w:t>
      </w:r>
      <w:r>
        <w:rPr>
          <w:rFonts w:hint="eastAsia" w:ascii="仿宋_GB2312" w:hAnsi="仿宋_GB2312" w:eastAsia="仿宋_GB2312" w:cs="仿宋_GB2312"/>
          <w:i w:val="0"/>
          <w:iCs w:val="0"/>
          <w:caps w:val="0"/>
          <w:color w:val="0F1115"/>
          <w:spacing w:val="0"/>
          <w:sz w:val="24"/>
          <w:szCs w:val="24"/>
          <w:highlight w:val="none"/>
          <w:shd w:val="clear" w:fill="FFFFFF"/>
        </w:rPr>
        <w:t>实行动态</w:t>
      </w:r>
      <w:r>
        <w:rPr>
          <w:rFonts w:hint="eastAsia" w:ascii="仿宋_GB2312" w:hAnsi="仿宋_GB2312" w:eastAsia="仿宋_GB2312" w:cs="仿宋_GB2312"/>
          <w:i w:val="0"/>
          <w:iCs w:val="0"/>
          <w:caps w:val="0"/>
          <w:color w:val="0F1115"/>
          <w:spacing w:val="0"/>
          <w:sz w:val="24"/>
          <w:szCs w:val="24"/>
          <w:highlight w:val="none"/>
          <w:shd w:val="clear" w:fill="FFFFFF"/>
          <w:lang w:val="en-US" w:eastAsia="zh-CN"/>
        </w:rPr>
        <w:t>考评</w:t>
      </w:r>
      <w:r>
        <w:rPr>
          <w:rFonts w:hint="eastAsia" w:ascii="仿宋_GB2312" w:hAnsi="仿宋_GB2312" w:eastAsia="仿宋_GB2312" w:cs="仿宋_GB2312"/>
          <w:i w:val="0"/>
          <w:iCs w:val="0"/>
          <w:caps w:val="0"/>
          <w:color w:val="0F1115"/>
          <w:spacing w:val="0"/>
          <w:sz w:val="24"/>
          <w:szCs w:val="24"/>
          <w:highlight w:val="none"/>
          <w:shd w:val="clear" w:fill="FFFFFF"/>
        </w:rPr>
        <w:t>管理，依据评估结果实施差异化策略。</w:t>
      </w:r>
    </w:p>
    <w:p w14:paraId="5BFD9D87">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b/>
          <w:bCs/>
          <w:i w:val="0"/>
          <w:iCs w:val="0"/>
          <w:caps w:val="0"/>
          <w:color w:val="0F1115"/>
          <w:spacing w:val="0"/>
          <w:sz w:val="24"/>
          <w:szCs w:val="24"/>
          <w:highlight w:val="none"/>
          <w:shd w:val="clear" w:fill="FFFFFF"/>
        </w:rPr>
      </w:pPr>
      <w:r>
        <w:rPr>
          <w:rFonts w:hint="eastAsia" w:ascii="仿宋_GB2312" w:hAnsi="仿宋_GB2312" w:eastAsia="仿宋_GB2312" w:cs="仿宋_GB2312"/>
          <w:b/>
          <w:bCs/>
          <w:i w:val="0"/>
          <w:iCs w:val="0"/>
          <w:caps w:val="0"/>
          <w:color w:val="0F1115"/>
          <w:spacing w:val="0"/>
          <w:sz w:val="24"/>
          <w:szCs w:val="24"/>
          <w:highlight w:val="none"/>
          <w:shd w:val="clear" w:fill="FFFFFF"/>
        </w:rPr>
        <w:t>第二章 职责分工</w:t>
      </w:r>
    </w:p>
    <w:p w14:paraId="40DB7139">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bCs w:val="0"/>
          <w:i w:val="0"/>
          <w:iCs w:val="0"/>
          <w:caps w:val="0"/>
          <w:color w:val="auto"/>
          <w:spacing w:val="0"/>
          <w:kern w:val="2"/>
          <w:sz w:val="24"/>
          <w:szCs w:val="24"/>
          <w:highlight w:val="none"/>
          <w:shd w:val="clear" w:fill="FFFFFF"/>
          <w:lang w:val="en-US" w:eastAsia="zh-CN" w:bidi="ar-SA"/>
        </w:rPr>
        <w:t>第四条</w:t>
      </w:r>
      <w:r>
        <w:rPr>
          <w:rFonts w:hint="eastAsia" w:ascii="仿宋_GB2312" w:hAnsi="仿宋_GB2312" w:eastAsia="仿宋_GB2312" w:cs="仿宋_GB2312"/>
          <w:b w:val="0"/>
          <w:bCs/>
          <w:i w:val="0"/>
          <w:iCs w:val="0"/>
          <w:caps w:val="0"/>
          <w:color w:val="auto"/>
          <w:spacing w:val="0"/>
          <w:kern w:val="2"/>
          <w:sz w:val="24"/>
          <w:szCs w:val="24"/>
          <w:highlight w:val="none"/>
          <w:shd w:val="clear" w:fill="FFFFFF"/>
          <w:lang w:val="en-US" w:eastAsia="zh-CN" w:bidi="ar-SA"/>
        </w:rPr>
        <w:t xml:space="preserve"> </w:t>
      </w:r>
      <w:bookmarkEnd w:id="58"/>
      <w:r>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采购管理部门职责</w:t>
      </w:r>
    </w:p>
    <w:p w14:paraId="6BE6D3DD">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负责牵头制定和修订本办法。</w:t>
      </w:r>
    </w:p>
    <w:p w14:paraId="54FFD1F3">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负责组织服务商的准入审核与协议签订。</w:t>
      </w:r>
    </w:p>
    <w:p w14:paraId="0A032FC1">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负责建立和维护框架内服务商。</w:t>
      </w:r>
    </w:p>
    <w:p w14:paraId="56DBC2ED">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负责组织或牵头实施对服务商的年度绩效评估。</w:t>
      </w:r>
    </w:p>
    <w:p w14:paraId="7CD9580C">
      <w:pPr>
        <w:pStyle w:val="19"/>
        <w:keepNext w:val="0"/>
        <w:keepLines w:val="0"/>
        <w:widowControl/>
        <w:numPr>
          <w:ilvl w:val="0"/>
          <w:numId w:val="3"/>
        </w:numPr>
        <w:suppressLineNumbers w:val="0"/>
        <w:spacing w:before="0" w:beforeAutospacing="0" w:after="0" w:afterAutospacing="0"/>
        <w:ind w:left="0" w:leftChars="0" w:right="0" w:rightChars="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根据评估结果，执行服务商的升级、降级、预警、暂停及退出等动态调整措施。</w:t>
      </w:r>
    </w:p>
    <w:p w14:paraId="0ABCB95B">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bCs w:val="0"/>
          <w:i w:val="0"/>
          <w:iCs w:val="0"/>
          <w:caps w:val="0"/>
          <w:color w:val="auto"/>
          <w:spacing w:val="0"/>
          <w:kern w:val="2"/>
          <w:sz w:val="24"/>
          <w:szCs w:val="24"/>
          <w:highlight w:val="none"/>
          <w:shd w:val="clear" w:fill="FFFFFF"/>
          <w:lang w:val="en-US" w:eastAsia="zh-CN" w:bidi="ar-SA"/>
        </w:rPr>
        <w:t>第五条</w:t>
      </w:r>
      <w:r>
        <w:rPr>
          <w:rFonts w:hint="eastAsia" w:ascii="仿宋_GB2312" w:hAnsi="仿宋_GB2312" w:eastAsia="仿宋_GB2312" w:cs="仿宋_GB2312"/>
          <w:b w:val="0"/>
          <w:bCs/>
          <w:i w:val="0"/>
          <w:iCs w:val="0"/>
          <w:caps w:val="0"/>
          <w:color w:val="auto"/>
          <w:spacing w:val="0"/>
          <w:kern w:val="2"/>
          <w:sz w:val="24"/>
          <w:szCs w:val="24"/>
          <w:highlight w:val="none"/>
          <w:shd w:val="clear" w:fill="FFFFFF"/>
          <w:lang w:val="en-US" w:eastAsia="zh-CN" w:bidi="ar-SA"/>
        </w:rPr>
        <w:t xml:space="preserve"> </w:t>
      </w:r>
      <w:r>
        <w:rPr>
          <w:rStyle w:val="25"/>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需求与使用部门职责</w:t>
      </w:r>
    </w:p>
    <w:p w14:paraId="02E9679F">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负责对服务商提供的服务进行使用反馈。</w:t>
      </w:r>
    </w:p>
    <w:p w14:paraId="672A706E">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负责记录并提报服务商在合同履行过程中的具体表现（如响应及时性、服务质量等）。</w:t>
      </w:r>
    </w:p>
    <w:p w14:paraId="6ED44D6D">
      <w:pPr>
        <w:pStyle w:val="19"/>
        <w:keepNext w:val="0"/>
        <w:keepLines w:val="0"/>
        <w:widowControl/>
        <w:numPr>
          <w:ilvl w:val="0"/>
          <w:numId w:val="4"/>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参与对服务商的绩效评估，提供客观、真实的评价数据。</w:t>
      </w:r>
    </w:p>
    <w:p w14:paraId="76AC9987">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pP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第三章 服务商绩效评估体系</w:t>
      </w:r>
    </w:p>
    <w:p w14:paraId="37E88531">
      <w:pPr>
        <w:pStyle w:val="19"/>
        <w:keepNext w:val="0"/>
        <w:keepLines w:val="0"/>
        <w:widowControl/>
        <w:suppressLineNumbers w:val="0"/>
        <w:shd w:val="clear" w:fill="FFFFFF"/>
        <w:spacing w:before="240" w:beforeAutospacing="0" w:after="240" w:afterAutospacing="0"/>
        <w:ind w:left="0" w:right="0" w:firstLine="0"/>
        <w:jc w:val="center"/>
        <w:rPr>
          <w:rFonts w:hint="eastAsia" w:ascii="仿宋_GB2312" w:hAnsi="仿宋_GB2312" w:eastAsia="仿宋_GB2312" w:cs="仿宋_GB2312"/>
          <w:i w:val="0"/>
          <w:iCs w:val="0"/>
          <w:caps w:val="0"/>
          <w:color w:val="0F1115"/>
          <w:spacing w:val="0"/>
          <w:sz w:val="24"/>
          <w:szCs w:val="24"/>
          <w:highlight w:val="none"/>
        </w:rPr>
      </w:pPr>
    </w:p>
    <w:p w14:paraId="6C019E48">
      <w:pPr>
        <w:pStyle w:val="19"/>
        <w:keepNext w:val="0"/>
        <w:keepLines w:val="0"/>
        <w:widowControl/>
        <w:suppressLineNumbers w:val="0"/>
        <w:shd w:val="clear" w:fill="FFFFFF"/>
        <w:spacing w:before="240" w:beforeAutospacing="0" w:after="240" w:afterAutospacing="0"/>
        <w:ind w:left="0" w:right="0" w:firstLine="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F1115"/>
          <w:spacing w:val="0"/>
          <w:sz w:val="24"/>
          <w:szCs w:val="24"/>
          <w:highlight w:val="none"/>
          <w:shd w:val="clear" w:fill="FFFFFF"/>
        </w:rPr>
        <w:t>第</w:t>
      </w: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六</w:t>
      </w:r>
      <w:r>
        <w:rPr>
          <w:rFonts w:hint="eastAsia" w:ascii="仿宋_GB2312" w:hAnsi="仿宋_GB2312" w:eastAsia="仿宋_GB2312" w:cs="仿宋_GB2312"/>
          <w:b/>
          <w:bCs/>
          <w:i w:val="0"/>
          <w:iCs w:val="0"/>
          <w:caps w:val="0"/>
          <w:color w:val="0F1115"/>
          <w:spacing w:val="0"/>
          <w:sz w:val="24"/>
          <w:szCs w:val="24"/>
          <w:highlight w:val="none"/>
          <w:shd w:val="clear" w:fill="FFFFFF"/>
        </w:rPr>
        <w:t>条</w:t>
      </w:r>
      <w:r>
        <w:rPr>
          <w:rFonts w:hint="eastAsia" w:ascii="仿宋_GB2312" w:hAnsi="仿宋_GB2312" w:eastAsia="仿宋_GB2312" w:cs="仿宋_GB2312"/>
          <w:i w:val="0"/>
          <w:iCs w:val="0"/>
          <w:caps w:val="0"/>
          <w:color w:val="0F1115"/>
          <w:spacing w:val="0"/>
          <w:sz w:val="24"/>
          <w:szCs w:val="24"/>
          <w:highlight w:val="none"/>
          <w:shd w:val="clear" w:fill="FFFFFF"/>
        </w:rPr>
        <w:t>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评估周期</w:t>
      </w:r>
    </w:p>
    <w:p w14:paraId="4FFC0BDA">
      <w:pPr>
        <w:pStyle w:val="19"/>
        <w:keepNext w:val="0"/>
        <w:keepLines w:val="0"/>
        <w:widowControl/>
        <w:suppressLineNumbers w:val="0"/>
        <w:shd w:val="clear" w:fill="FFFFFF"/>
        <w:spacing w:before="240" w:beforeAutospacing="0" w:after="240" w:afterAutospacing="0"/>
        <w:ind w:left="0" w:right="0" w:firstLine="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年度综合评估</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按照配套的绩效评估指标开展年度评估，评估结果作为分级管理、业务分配、费用结算、续期、淘汰退出的核心依据。</w:t>
      </w:r>
    </w:p>
    <w:p w14:paraId="718243F6">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F1115"/>
          <w:spacing w:val="0"/>
          <w:sz w:val="24"/>
          <w:szCs w:val="24"/>
          <w:highlight w:val="none"/>
          <w:shd w:val="clear" w:fill="FFFFFF"/>
          <w:lang w:val="en-US" w:eastAsia="zh-CN"/>
        </w:rPr>
        <w:t>第七条</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评估内容与指标</w:t>
      </w:r>
    </w:p>
    <w:p w14:paraId="1858D8E0">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评估采用百分制，具体指标及权重可根据服务商类别进行调整，主要包含以下方面：</w:t>
      </w:r>
    </w:p>
    <w:tbl>
      <w:tblPr>
        <w:tblStyle w:val="22"/>
        <w:tblW w:w="85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863"/>
        <w:gridCol w:w="3808"/>
        <w:gridCol w:w="912"/>
        <w:gridCol w:w="1938"/>
      </w:tblGrid>
      <w:tr w14:paraId="7F962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46AD1A61">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评估维度</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4BF235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评估指标</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536A5552">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权重</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4E6D22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4"/>
                <w:szCs w:val="24"/>
                <w:highlight w:val="none"/>
                <w:shd w:val="clear" w:fill="FFFFFF"/>
                <w:lang w:val="en-US" w:eastAsia="zh-CN"/>
                <w14:textFill>
                  <w14:solidFill>
                    <w14:schemeClr w14:val="tx1"/>
                  </w14:solidFill>
                </w14:textFill>
              </w:rPr>
              <w:t>数据来源</w:t>
            </w:r>
          </w:p>
        </w:tc>
      </w:tr>
      <w:tr w14:paraId="0DE3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7AF41B51">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承销质量</w:t>
            </w:r>
          </w:p>
          <w:p w14:paraId="688D77A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 (50分)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25D9B9B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募集说明书的质量、发行结果、承销能力、整体满意度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B84CCE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50%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40A36AC0">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7159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1A25B9B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工作时效</w:t>
            </w:r>
          </w:p>
          <w:p w14:paraId="7201FA76">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4F8B595B">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报告交付准时率、交付完整性、</w:t>
            </w:r>
          </w:p>
          <w:p w14:paraId="206CB38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响应速度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1E03836">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383D1A3A">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0A5D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28AF5FE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价格 </w:t>
            </w:r>
          </w:p>
          <w:p w14:paraId="7DDEB8B4">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5F8CF54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价格竞争力、降价配合度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445B6623">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4105EA1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采购方、财务部</w:t>
            </w:r>
          </w:p>
        </w:tc>
      </w:tr>
      <w:tr w14:paraId="1322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29C0797F">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合规与独立性(10分)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7847EE3A">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商业道德合规、保密义务履行、</w:t>
            </w:r>
          </w:p>
          <w:p w14:paraId="40E0491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未受不当干预</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2C8678EB">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10%</w:t>
            </w:r>
          </w:p>
        </w:tc>
        <w:tc>
          <w:tcPr>
            <w:tcW w:w="193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0" w:type="dxa"/>
            </w:tcMar>
            <w:vAlign w:val="center"/>
          </w:tcPr>
          <w:p w14:paraId="74FE6768">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r w14:paraId="406A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863" w:type="dxa"/>
            <w:tcBorders>
              <w:top w:val="single" w:color="auto" w:sz="4" w:space="0"/>
              <w:left w:val="single" w:color="auto" w:sz="4" w:space="0"/>
              <w:bottom w:val="single" w:color="auto" w:sz="4" w:space="0"/>
              <w:right w:val="single" w:color="auto" w:sz="4" w:space="0"/>
            </w:tcBorders>
            <w:shd w:val="clear" w:color="auto" w:fill="auto"/>
            <w:tcMar>
              <w:top w:w="100" w:type="dxa"/>
              <w:left w:w="0" w:type="dxa"/>
              <w:bottom w:w="100" w:type="dxa"/>
              <w:right w:w="160" w:type="dxa"/>
            </w:tcMar>
            <w:vAlign w:val="center"/>
          </w:tcPr>
          <w:p w14:paraId="76026BED">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服务响应与支持</w:t>
            </w:r>
          </w:p>
          <w:p w14:paraId="5E67552E">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 (15分)</w:t>
            </w:r>
          </w:p>
        </w:tc>
        <w:tc>
          <w:tcPr>
            <w:tcW w:w="3808"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110CE0E5">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增值服务、问题解决能力、</w:t>
            </w:r>
          </w:p>
          <w:p w14:paraId="090AEDD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沟通合作态度</w:t>
            </w:r>
          </w:p>
        </w:tc>
        <w:tc>
          <w:tcPr>
            <w:tcW w:w="912" w:type="dxa"/>
            <w:tcBorders>
              <w:top w:val="single" w:color="auto" w:sz="4" w:space="0"/>
              <w:left w:val="single" w:color="auto" w:sz="4" w:space="0"/>
              <w:bottom w:val="single" w:color="auto" w:sz="4" w:space="0"/>
              <w:right w:val="single" w:color="auto" w:sz="4" w:space="0"/>
            </w:tcBorders>
            <w:shd w:val="clear" w:color="auto" w:fill="auto"/>
            <w:tcMar>
              <w:top w:w="100" w:type="dxa"/>
              <w:left w:w="160" w:type="dxa"/>
              <w:bottom w:w="100" w:type="dxa"/>
              <w:right w:w="160" w:type="dxa"/>
            </w:tcMar>
            <w:vAlign w:val="center"/>
          </w:tcPr>
          <w:p w14:paraId="06C3F930">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15%</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388479F7">
            <w:pPr>
              <w:pStyle w:val="19"/>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使用部门</w:t>
            </w:r>
          </w:p>
        </w:tc>
      </w:tr>
    </w:tbl>
    <w:p w14:paraId="3460764F">
      <w:pPr>
        <w:pStyle w:val="19"/>
        <w:keepNext w:val="0"/>
        <w:keepLines w:val="0"/>
        <w:widowControl/>
        <w:numPr>
          <w:ilvl w:val="0"/>
          <w:numId w:val="0"/>
        </w:numPr>
        <w:suppressLineNumbers w:val="0"/>
        <w:spacing w:before="0" w:beforeAutospacing="0" w:after="0" w:afterAutospacing="0"/>
        <w:ind w:right="0" w:rightChars="0" w:firstLine="482" w:firstLineChars="20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第八条</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评估等级划分</w:t>
      </w:r>
    </w:p>
    <w:p w14:paraId="3DD3E184">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根据年度综合评估得分，将服务商划分为四个等级：</w:t>
      </w:r>
    </w:p>
    <w:p w14:paraId="30F99233">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A级（优秀）：得分≥90分。表现卓越，是公司的战略合作伙伴。</w:t>
      </w:r>
    </w:p>
    <w:p w14:paraId="2742EAE7">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B级（良好）：80分≤得分&lt;90分。表现稳定，能够满足公司要求。</w:t>
      </w:r>
    </w:p>
    <w:p w14:paraId="40A1A36F">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C级（合格）：60分≤得分&lt;80分。基本满足要求，但存在需要改进的方面。</w:t>
      </w:r>
    </w:p>
    <w:p w14:paraId="51247155">
      <w:pPr>
        <w:pStyle w:val="19"/>
        <w:keepNext w:val="0"/>
        <w:keepLines w:val="0"/>
        <w:widowControl/>
        <w:numPr>
          <w:ilvl w:val="0"/>
          <w:numId w:val="5"/>
        </w:numPr>
        <w:suppressLineNumbers w:val="0"/>
        <w:spacing w:before="0" w:beforeAutospacing="0" w:after="0" w:afterAutospacing="0"/>
        <w:ind w:left="0" w:leftChars="0" w:right="0" w:firstLine="420" w:firstLineChars="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D级（不合格）：得分&lt;60分。表现未能达到基本要求，存在重大风险。</w:t>
      </w:r>
    </w:p>
    <w:p w14:paraId="00BCAB51">
      <w:pPr>
        <w:pStyle w:val="19"/>
        <w:keepNext w:val="0"/>
        <w:keepLines w:val="0"/>
        <w:widowControl/>
        <w:suppressLineNumbers w:val="0"/>
        <w:spacing w:before="0" w:beforeAutospacing="0" w:after="0" w:afterAutospacing="0"/>
        <w:ind w:right="0"/>
        <w:jc w:val="cente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第</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四</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 xml:space="preserve">章 </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动态</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管理</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措施</w:t>
      </w:r>
    </w:p>
    <w:p w14:paraId="599E4244">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第九条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分级管理策略</w:t>
      </w:r>
    </w:p>
    <w:p w14:paraId="2D6B2D65">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（一）A级服务商（优秀）：</w:t>
      </w:r>
    </w:p>
    <w:p w14:paraId="25B34A97">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激励措施：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在新项目中享有优先权；可获得更高比例的服务需求分配；支付流程可享受绿色通道。</w:t>
      </w:r>
    </w:p>
    <w:p w14:paraId="0BBF5ED0">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（二）B级服务商（良好）：</w:t>
      </w:r>
    </w:p>
    <w:p w14:paraId="36DE2D9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管理策略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：维持正常合作关系，作为公司稳定的服务商来源。</w:t>
      </w:r>
    </w:p>
    <w:p w14:paraId="4C6A0BEA">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改进要求：</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针对评估中发现的短板，服务商需制定改进计划并落实。</w:t>
      </w:r>
    </w:p>
    <w:p w14:paraId="59974C1F">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（三）C级服务商（合格）：</w:t>
      </w:r>
    </w:p>
    <w:p w14:paraId="5B3FB4D4">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管理策略：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列入观察名单，服务采购部门应加强监控与沟通。</w:t>
      </w:r>
    </w:p>
    <w:p w14:paraId="545A9109">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限制措施：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酌情减少服务需求分配；暂停新项目合作资格。</w:t>
      </w:r>
    </w:p>
    <w:p w14:paraId="6CF59CF4">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整改要求：</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发出《服务商整改通知书》，限期整改。采购部门跟踪整改效果。</w:t>
      </w:r>
    </w:p>
    <w:p w14:paraId="2C1404F5">
      <w:pPr>
        <w:pStyle w:val="19"/>
        <w:keepNext w:val="0"/>
        <w:keepLines w:val="0"/>
        <w:widowControl/>
        <w:suppressLineNumbers w:val="0"/>
        <w:spacing w:before="0" w:beforeAutospacing="0" w:after="0" w:afterAutospacing="0"/>
        <w:ind w:left="0" w:right="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（四）D级服务商（不合格）：</w:t>
      </w:r>
    </w:p>
    <w:p w14:paraId="2D3B331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风险预警：</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立即启动风险预警机制。</w:t>
      </w:r>
    </w:p>
    <w:p w14:paraId="4D9D655D">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处理措施：</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暂停其在新项目中的服务资格。</w:t>
      </w:r>
    </w:p>
    <w:p w14:paraId="61F03BEE">
      <w:pPr>
        <w:pStyle w:val="19"/>
        <w:keepNext w:val="0"/>
        <w:keepLines w:val="0"/>
        <w:widowControl/>
        <w:suppressLineNumbers w:val="0"/>
        <w:spacing w:before="0" w:beforeAutospacing="0" w:after="0" w:afterAutospacing="0"/>
        <w:ind w:left="0" w:right="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退出机制：</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经公司审批后，可从框架协议供应商中清退，并终止尚未执行的框架协议。对于存在严重违约、欺诈等行为的，将依法追究其责任。</w:t>
      </w:r>
    </w:p>
    <w:p w14:paraId="026E7D30">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第十条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退出流程</w:t>
      </w:r>
    </w:p>
    <w:p w14:paraId="7B9A039C">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启动与审批：</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采购人根据退出情形，附相关证据（如绩效报告、违约记录），报权限领导审批。</w:t>
      </w:r>
    </w:p>
    <w:p w14:paraId="1182528A">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正式通知：</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向服务商发出书面《终止合作通知书》。</w:t>
      </w:r>
    </w:p>
    <w:p w14:paraId="5D9C749F">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业务与资产清算：</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完成未结订单处理，公司资产（如有）返还。</w:t>
      </w:r>
    </w:p>
    <w:p w14:paraId="12D22CA8">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财务结算：</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核对并支付所有应付未付款项。</w:t>
      </w:r>
    </w:p>
    <w:p w14:paraId="346894D6">
      <w:pPr>
        <w:pStyle w:val="19"/>
        <w:keepNext w:val="0"/>
        <w:keepLines w:val="0"/>
        <w:widowControl/>
        <w:numPr>
          <w:ilvl w:val="0"/>
          <w:numId w:val="0"/>
        </w:numPr>
        <w:suppressLineNumbers w:val="0"/>
        <w:spacing w:before="0" w:beforeAutospacing="0" w:after="0" w:afterAutospacing="0"/>
        <w:ind w:right="0" w:rightChars="0" w:firstLine="482"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14:textFill>
            <w14:solidFill>
              <w14:schemeClr w14:val="tx1"/>
            </w14:solidFill>
          </w14:textFill>
        </w:rPr>
        <w:t>系统更新：</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从框架协议供应商中删除，并通知相关部门。</w:t>
      </w:r>
    </w:p>
    <w:p w14:paraId="7C0C39CC">
      <w:pPr>
        <w:pStyle w:val="19"/>
        <w:keepNext w:val="0"/>
        <w:keepLines w:val="0"/>
        <w:widowControl/>
        <w:numPr>
          <w:ilvl w:val="0"/>
          <w:numId w:val="0"/>
        </w:numPr>
        <w:suppressLineNumbers w:val="0"/>
        <w:spacing w:before="0" w:beforeAutospacing="0" w:after="0" w:afterAutospacing="0"/>
        <w:ind w:right="0" w:rightChars="0" w:firstLine="480" w:firstLineChars="200"/>
        <w:jc w:val="cente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第</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五</w:t>
      </w:r>
      <w:r>
        <w:rPr>
          <w:rStyle w:val="25"/>
          <w:rFonts w:hint="eastAsia" w:ascii="仿宋_GB2312" w:hAnsi="仿宋_GB2312" w:eastAsia="仿宋_GB2312" w:cs="仿宋_GB2312"/>
          <w:b w:val="0"/>
          <w:bCs/>
          <w:caps w:val="0"/>
          <w:color w:val="000000" w:themeColor="text1"/>
          <w:spacing w:val="0"/>
          <w:sz w:val="24"/>
          <w:szCs w:val="24"/>
          <w:highlight w:val="none"/>
          <w:shd w:val="clear" w:fill="FFFFFF"/>
          <w14:textFill>
            <w14:solidFill>
              <w14:schemeClr w14:val="tx1"/>
            </w14:solidFill>
          </w14:textFill>
        </w:rPr>
        <w:t>章 附则</w:t>
      </w:r>
    </w:p>
    <w:p w14:paraId="6DCFC193">
      <w:pPr>
        <w:pStyle w:val="19"/>
        <w:keepNext w:val="0"/>
        <w:keepLines w:val="0"/>
        <w:widowControl/>
        <w:numPr>
          <w:ilvl w:val="0"/>
          <w:numId w:val="0"/>
        </w:numPr>
        <w:suppressLineNumbers w:val="0"/>
        <w:spacing w:before="0" w:beforeAutospacing="0" w:after="0" w:afterAutospacing="0"/>
        <w:ind w:right="0" w:rightChars="0" w:firstLine="482"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bCs w:val="0"/>
          <w:caps w:val="0"/>
          <w:color w:val="000000" w:themeColor="text1"/>
          <w:spacing w:val="0"/>
          <w:sz w:val="24"/>
          <w:szCs w:val="24"/>
          <w:highlight w:val="none"/>
          <w:shd w:val="clear" w:fill="FFFFFF"/>
          <w:lang w:val="en-US" w:eastAsia="zh-CN"/>
          <w14:textFill>
            <w14:solidFill>
              <w14:schemeClr w14:val="tx1"/>
            </w14:solidFill>
          </w14:textFill>
        </w:rPr>
        <w:t>第十一条</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 xml:space="preserve"> 保密条款</w:t>
      </w:r>
    </w:p>
    <w:p w14:paraId="08375F6B">
      <w:pPr>
        <w:pStyle w:val="19"/>
        <w:keepNext w:val="0"/>
        <w:keepLines w:val="0"/>
        <w:widowControl/>
        <w:numPr>
          <w:ilvl w:val="0"/>
          <w:numId w:val="0"/>
        </w:numPr>
        <w:suppressLineNumbers w:val="0"/>
        <w:spacing w:before="0" w:beforeAutospacing="0" w:after="0" w:afterAutospacing="0"/>
        <w:ind w:right="0" w:rightChars="0" w:firstLine="480"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评估过程中涉及的商业秘密、项目敏感信息，服务商需严格保密，未经授权不得向任何第三方泄露，若因服务商自身原因导致信息泄露，除承担违约责任外，按照不低于合同总额20%的起付标准进行惩罚性赔偿，并保留追究法律责任的权利。</w:t>
      </w:r>
    </w:p>
    <w:p w14:paraId="3DF8B4BE">
      <w:pPr>
        <w:pStyle w:val="19"/>
        <w:keepNext w:val="0"/>
        <w:keepLines w:val="0"/>
        <w:widowControl/>
        <w:numPr>
          <w:ilvl w:val="0"/>
          <w:numId w:val="0"/>
        </w:numPr>
        <w:suppressLineNumbers w:val="0"/>
        <w:spacing w:before="0" w:beforeAutospacing="0" w:after="0" w:afterAutospacing="0"/>
        <w:ind w:right="0" w:rightChars="0" w:firstLine="482"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bCs w:val="0"/>
          <w:caps w:val="0"/>
          <w:color w:val="000000" w:themeColor="text1"/>
          <w:spacing w:val="0"/>
          <w:sz w:val="24"/>
          <w:szCs w:val="24"/>
          <w:highlight w:val="none"/>
          <w:shd w:val="clear" w:fill="FFFFFF"/>
          <w:lang w:val="en-US" w:eastAsia="zh-CN"/>
          <w14:textFill>
            <w14:solidFill>
              <w14:schemeClr w14:val="tx1"/>
            </w14:solidFill>
          </w14:textFill>
        </w:rPr>
        <w:t>第十二条</w:t>
      </w: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 xml:space="preserve"> 争议解决</w:t>
      </w:r>
    </w:p>
    <w:p w14:paraId="5D31A3DC">
      <w:pPr>
        <w:pStyle w:val="19"/>
        <w:keepNext w:val="0"/>
        <w:keepLines w:val="0"/>
        <w:widowControl/>
        <w:numPr>
          <w:ilvl w:val="0"/>
          <w:numId w:val="0"/>
        </w:numPr>
        <w:suppressLineNumbers w:val="0"/>
        <w:spacing w:before="0" w:beforeAutospacing="0" w:after="0" w:afterAutospacing="0"/>
        <w:ind w:right="0" w:rightChars="0" w:firstLine="480" w:firstLineChars="200"/>
        <w:jc w:val="both"/>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pPr>
      <w:r>
        <w:rPr>
          <w:rStyle w:val="25"/>
          <w:rFonts w:hint="eastAsia" w:ascii="仿宋_GB2312" w:hAnsi="仿宋_GB2312" w:eastAsia="仿宋_GB2312" w:cs="仿宋_GB2312"/>
          <w:b w:val="0"/>
          <w:bCs/>
          <w:caps w:val="0"/>
          <w:color w:val="000000" w:themeColor="text1"/>
          <w:spacing w:val="0"/>
          <w:sz w:val="24"/>
          <w:szCs w:val="24"/>
          <w:highlight w:val="none"/>
          <w:shd w:val="clear" w:fill="FFFFFF"/>
          <w:lang w:val="en-US" w:eastAsia="zh-CN"/>
          <w14:textFill>
            <w14:solidFill>
              <w14:schemeClr w14:val="tx1"/>
            </w14:solidFill>
          </w14:textFill>
        </w:rPr>
        <w:t>服务商对评估结果存在争议的，可在收到结果10个工作日内提交书面申诉及证明材料，采购部门组织复核后给出最终结论；仍有争议的，可通过框架协议约定的争议解决途径处理。</w:t>
      </w:r>
    </w:p>
    <w:p w14:paraId="41AC2FB9">
      <w:pPr>
        <w:pStyle w:val="19"/>
        <w:keepNext w:val="0"/>
        <w:keepLines w:val="0"/>
        <w:widowControl/>
        <w:numPr>
          <w:ilvl w:val="0"/>
          <w:numId w:val="0"/>
        </w:numPr>
        <w:suppressLineNumbers w:val="0"/>
        <w:spacing w:before="0" w:beforeAutospacing="0" w:after="0" w:afterAutospacing="0"/>
        <w:ind w:right="0" w:rightChars="0" w:firstLine="482" w:firstLineChars="20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第十三条</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解释权</w:t>
      </w:r>
    </w:p>
    <w:p w14:paraId="27C25A57">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本细则由吉安城投控股集团有限公司负责解释。</w:t>
      </w:r>
    </w:p>
    <w:p w14:paraId="26CA9CF2">
      <w:pPr>
        <w:pStyle w:val="19"/>
        <w:keepNext w:val="0"/>
        <w:keepLines w:val="0"/>
        <w:widowControl/>
        <w:numPr>
          <w:ilvl w:val="0"/>
          <w:numId w:val="0"/>
        </w:numPr>
        <w:suppressLineNumbers w:val="0"/>
        <w:spacing w:before="0" w:beforeAutospacing="0" w:after="0" w:afterAutospacing="0"/>
        <w:ind w:right="0" w:rightChars="0"/>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仿宋_GB2312" w:hAnsi="仿宋_GB2312" w:eastAsia="仿宋_GB2312" w:cs="仿宋_GB2312"/>
          <w:b/>
          <w:bCs w:val="0"/>
          <w:i w:val="0"/>
          <w:iCs w:val="0"/>
          <w:caps w:val="0"/>
          <w:color w:val="000000" w:themeColor="text1"/>
          <w:spacing w:val="0"/>
          <w:sz w:val="24"/>
          <w:szCs w:val="24"/>
          <w:highlight w:val="none"/>
          <w:shd w:val="clear" w:fill="FFFFFF"/>
          <w:lang w:val="en-US" w:eastAsia="zh-CN" w:bidi="ar-SA"/>
          <w14:textFill>
            <w14:solidFill>
              <w14:schemeClr w14:val="tx1"/>
            </w14:solidFill>
          </w14:textFill>
        </w:rPr>
        <w:t>第十四条</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bidi="ar-SA"/>
          <w14:textFill>
            <w14:solidFill>
              <w14:schemeClr w14:val="tx1"/>
            </w14:solidFill>
          </w14:textFill>
        </w:rPr>
        <w:t xml:space="preserve"> </w:t>
      </w:r>
      <w:r>
        <w:rPr>
          <w:rStyle w:val="25"/>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生效日期</w:t>
      </w:r>
    </w:p>
    <w:p w14:paraId="54CEC5D8">
      <w:pPr>
        <w:pStyle w:val="19"/>
        <w:keepNext w:val="0"/>
        <w:keepLines w:val="0"/>
        <w:widowControl/>
        <w:numPr>
          <w:ilvl w:val="0"/>
          <w:numId w:val="0"/>
        </w:numPr>
        <w:suppressLineNumbers w:val="0"/>
        <w:spacing w:before="0" w:beforeAutospacing="0" w:after="0" w:afterAutospacing="0"/>
        <w:ind w:right="0" w:rightChars="0" w:firstLine="480" w:firstLineChars="200"/>
        <w:rPr>
          <w:rFonts w:hint="eastAsia" w:ascii="仿宋_GB2312" w:hAnsi="仿宋_GB2312" w:eastAsia="仿宋_GB2312" w:cs="仿宋_GB2312"/>
          <w:b w:val="0"/>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val="en-US" w:eastAsia="zh-CN"/>
          <w14:textFill>
            <w14:solidFill>
              <w14:schemeClr w14:val="tx1"/>
            </w14:solidFill>
          </w14:textFill>
        </w:rPr>
        <w:t>本细则自发布之日起生效</w:t>
      </w:r>
      <w:r>
        <w:rPr>
          <w:rFonts w:hint="eastAsia" w:ascii="仿宋_GB2312" w:hAnsi="仿宋_GB2312" w:eastAsia="仿宋_GB2312" w:cs="仿宋_GB2312"/>
          <w:b w:val="0"/>
          <w:bCs/>
          <w:i w:val="0"/>
          <w:iCs w:val="0"/>
          <w:caps w:val="0"/>
          <w:color w:val="000000" w:themeColor="text1"/>
          <w:spacing w:val="0"/>
          <w:sz w:val="24"/>
          <w:szCs w:val="24"/>
          <w:highlight w:val="none"/>
          <w:shd w:val="clear" w:fill="FFFFFF"/>
          <w:lang w:eastAsia="zh-CN"/>
          <w14:textFill>
            <w14:solidFill>
              <w14:schemeClr w14:val="tx1"/>
            </w14:solidFill>
          </w14:textFill>
        </w:rPr>
        <w:t>。</w:t>
      </w:r>
    </w:p>
    <w:p w14:paraId="2F130F8E">
      <w:pPr>
        <w:keepNext w:val="0"/>
        <w:keepLines w:val="0"/>
        <w:widowControl/>
        <w:numPr>
          <w:ilvl w:val="0"/>
          <w:numId w:val="0"/>
        </w:numPr>
        <w:suppressLineNumbers w:val="0"/>
        <w:spacing w:before="60" w:beforeAutospacing="0" w:after="0" w:afterAutospacing="1"/>
        <w:rPr>
          <w:rFonts w:hint="eastAsia" w:ascii="仿宋" w:hAnsi="仿宋" w:eastAsia="仿宋" w:cs="仿宋"/>
          <w:b w:val="0"/>
          <w:bCs/>
          <w:color w:val="auto"/>
          <w:sz w:val="24"/>
          <w:szCs w:val="24"/>
          <w:highlight w:val="none"/>
        </w:rPr>
      </w:pPr>
    </w:p>
    <w:p w14:paraId="3FF6C7C2">
      <w:pPr>
        <w:rPr>
          <w:rFonts w:hint="eastAsia" w:ascii="仿宋" w:hAnsi="仿宋" w:eastAsia="仿宋" w:cs="仿宋"/>
          <w:color w:val="auto"/>
          <w:highlight w:val="none"/>
        </w:rPr>
      </w:pPr>
    </w:p>
    <w:p w14:paraId="38BEE555">
      <w:pPr>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注：以上采购需求需逐条响应，否则为无效响应。</w:t>
      </w:r>
      <w:r>
        <w:rPr>
          <w:rFonts w:hint="eastAsia" w:ascii="仿宋" w:hAnsi="仿宋" w:eastAsia="仿宋" w:cs="仿宋"/>
          <w:color w:val="auto"/>
          <w:highlight w:val="none"/>
        </w:rPr>
        <w:br w:type="page"/>
      </w:r>
      <w:r>
        <w:rPr>
          <w:rFonts w:hint="eastAsia" w:ascii="仿宋" w:hAnsi="仿宋" w:eastAsia="仿宋" w:cs="仿宋"/>
          <w:color w:val="auto"/>
          <w:highlight w:val="none"/>
        </w:rPr>
        <w:t>评审标准</w:t>
      </w:r>
      <w:bookmarkEnd w:id="38"/>
    </w:p>
    <w:p w14:paraId="7706979D">
      <w:pPr>
        <w:wordWrap w:val="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一、评分方法：</w:t>
      </w:r>
    </w:p>
    <w:p w14:paraId="27CC5FBC">
      <w:pPr>
        <w:wordWrap w:val="0"/>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1、本次采购评审方法为</w:t>
      </w:r>
      <w:r>
        <w:rPr>
          <w:rFonts w:hint="eastAsia" w:ascii="仿宋" w:hAnsi="仿宋" w:eastAsia="仿宋" w:cs="仿宋"/>
          <w:color w:val="auto"/>
          <w:highlight w:val="none"/>
          <w:u w:val="single"/>
        </w:rPr>
        <w:t>综合评</w:t>
      </w:r>
      <w:r>
        <w:rPr>
          <w:rFonts w:hint="eastAsia" w:ascii="仿宋" w:hAnsi="仿宋" w:cs="仿宋"/>
          <w:color w:val="auto"/>
          <w:highlight w:val="none"/>
          <w:u w:val="single"/>
          <w:lang w:val="en-US" w:eastAsia="zh-CN"/>
        </w:rPr>
        <w:t>分</w:t>
      </w:r>
      <w:r>
        <w:rPr>
          <w:rFonts w:hint="eastAsia" w:ascii="仿宋" w:hAnsi="仿宋" w:eastAsia="仿宋" w:cs="仿宋"/>
          <w:color w:val="auto"/>
          <w:highlight w:val="none"/>
          <w:u w:val="single"/>
        </w:rPr>
        <w:t>法</w:t>
      </w:r>
      <w:r>
        <w:rPr>
          <w:rFonts w:hint="eastAsia" w:ascii="仿宋" w:hAnsi="仿宋" w:eastAsia="仿宋" w:cs="仿宋"/>
          <w:color w:val="auto"/>
          <w:highlight w:val="none"/>
        </w:rPr>
        <w:t>。</w:t>
      </w:r>
    </w:p>
    <w:p w14:paraId="24AEA6EF">
      <w:pPr>
        <w:wordWrap w:val="0"/>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2、本项目的入围</w:t>
      </w:r>
      <w:r>
        <w:rPr>
          <w:rFonts w:hint="eastAsia" w:ascii="仿宋" w:hAnsi="仿宋" w:eastAsia="仿宋" w:cs="仿宋"/>
          <w:color w:val="auto"/>
          <w:highlight w:val="none"/>
          <w:lang w:eastAsia="zh-CN"/>
        </w:rPr>
        <w:t>服务商</w:t>
      </w:r>
      <w:r>
        <w:rPr>
          <w:rFonts w:hint="eastAsia" w:ascii="仿宋" w:hAnsi="仿宋" w:cs="仿宋"/>
          <w:color w:val="auto"/>
          <w:highlight w:val="none"/>
          <w:lang w:val="en-US" w:eastAsia="zh-CN"/>
        </w:rPr>
        <w:t>每个包</w:t>
      </w:r>
      <w:r>
        <w:rPr>
          <w:rFonts w:hint="eastAsia" w:ascii="仿宋" w:hAnsi="仿宋" w:eastAsia="仿宋" w:cs="仿宋"/>
          <w:b/>
          <w:bCs/>
          <w:color w:val="auto"/>
          <w:highlight w:val="none"/>
          <w:u w:val="single"/>
        </w:rPr>
        <w:t>最多为</w:t>
      </w:r>
      <w:r>
        <w:rPr>
          <w:rFonts w:hint="eastAsia" w:ascii="仿宋" w:hAnsi="仿宋" w:eastAsia="仿宋" w:cs="仿宋"/>
          <w:b/>
          <w:bCs/>
          <w:color w:val="auto"/>
          <w:highlight w:val="none"/>
          <w:u w:val="single"/>
          <w:lang w:val="en-US" w:eastAsia="zh-CN"/>
        </w:rPr>
        <w:t>15</w:t>
      </w:r>
      <w:r>
        <w:rPr>
          <w:rFonts w:hint="eastAsia" w:ascii="仿宋" w:hAnsi="仿宋" w:eastAsia="仿宋" w:cs="仿宋"/>
          <w:b/>
          <w:bCs/>
          <w:color w:val="auto"/>
          <w:highlight w:val="none"/>
          <w:u w:val="single"/>
        </w:rPr>
        <w:t>家</w:t>
      </w:r>
      <w:r>
        <w:rPr>
          <w:rFonts w:hint="eastAsia" w:ascii="仿宋" w:hAnsi="仿宋" w:cs="仿宋"/>
          <w:b/>
          <w:bCs/>
          <w:color w:val="auto"/>
          <w:highlight w:val="none"/>
          <w:u w:val="single"/>
          <w:lang w:eastAsia="zh-CN"/>
        </w:rPr>
        <w:t>（</w:t>
      </w:r>
      <w:r>
        <w:rPr>
          <w:rFonts w:hint="eastAsia" w:ascii="仿宋" w:hAnsi="仿宋" w:cs="仿宋"/>
          <w:b/>
          <w:bCs/>
          <w:color w:val="auto"/>
          <w:highlight w:val="none"/>
          <w:u w:val="single"/>
          <w:lang w:val="en-US" w:eastAsia="zh-CN"/>
        </w:rPr>
        <w:t>A包15家、B包15家</w:t>
      </w:r>
      <w:r>
        <w:rPr>
          <w:rFonts w:hint="eastAsia" w:ascii="仿宋" w:hAnsi="仿宋" w:cs="仿宋"/>
          <w:b/>
          <w:bCs/>
          <w:color w:val="auto"/>
          <w:highlight w:val="none"/>
          <w:u w:val="single"/>
          <w:lang w:eastAsia="zh-CN"/>
        </w:rPr>
        <w:t>）</w:t>
      </w:r>
      <w:r>
        <w:rPr>
          <w:rFonts w:hint="eastAsia" w:ascii="仿宋" w:hAnsi="仿宋" w:eastAsia="仿宋" w:cs="仿宋"/>
          <w:b/>
          <w:bCs/>
          <w:color w:val="auto"/>
          <w:highlight w:val="none"/>
          <w:u w:val="single"/>
        </w:rPr>
        <w:t>；淘汰比例不低于20.00%，</w:t>
      </w:r>
      <w:r>
        <w:rPr>
          <w:rFonts w:hint="eastAsia" w:ascii="仿宋" w:hAnsi="仿宋" w:cs="仿宋"/>
          <w:b/>
          <w:bCs/>
          <w:color w:val="auto"/>
          <w:highlight w:val="none"/>
          <w:u w:val="single"/>
          <w:lang w:val="en-US" w:eastAsia="zh-CN"/>
        </w:rPr>
        <w:t>淘汰数量</w:t>
      </w:r>
      <w:r>
        <w:rPr>
          <w:rFonts w:hint="eastAsia" w:ascii="仿宋" w:hAnsi="仿宋" w:eastAsia="仿宋" w:cs="仿宋"/>
          <w:b/>
          <w:bCs/>
          <w:color w:val="auto"/>
          <w:highlight w:val="none"/>
          <w:u w:val="single"/>
        </w:rPr>
        <w:t>按照向上取整进行取整，且至少淘汰1家</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。当符合资格条件、实质性要求的响应</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仅为</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家时，淘汰1家</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；当符合资格条件、实质性要求的响应</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大于</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家时，按比例淘汰</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，当</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不足</w:t>
      </w:r>
      <w:r>
        <w:rPr>
          <w:rFonts w:hint="eastAsia" w:ascii="仿宋" w:hAnsi="仿宋" w:cs="仿宋"/>
          <w:b/>
          <w:bCs/>
          <w:color w:val="auto"/>
          <w:highlight w:val="none"/>
          <w:u w:val="single"/>
          <w:lang w:val="en-US" w:eastAsia="zh-CN"/>
        </w:rPr>
        <w:t>3</w:t>
      </w:r>
      <w:r>
        <w:rPr>
          <w:rFonts w:hint="eastAsia" w:ascii="仿宋" w:hAnsi="仿宋" w:eastAsia="仿宋" w:cs="仿宋"/>
          <w:b/>
          <w:bCs/>
          <w:color w:val="auto"/>
          <w:highlight w:val="none"/>
          <w:u w:val="single"/>
        </w:rPr>
        <w:t>家时，将重新组织征集</w:t>
      </w:r>
      <w:r>
        <w:rPr>
          <w:rFonts w:hint="eastAsia" w:ascii="仿宋" w:hAnsi="仿宋" w:eastAsia="仿宋" w:cs="仿宋"/>
          <w:b/>
          <w:bCs/>
          <w:color w:val="auto"/>
          <w:highlight w:val="none"/>
          <w:u w:val="single"/>
          <w:lang w:eastAsia="zh-CN"/>
        </w:rPr>
        <w:t>服务商</w:t>
      </w:r>
      <w:r>
        <w:rPr>
          <w:rFonts w:hint="eastAsia" w:ascii="仿宋" w:hAnsi="仿宋" w:eastAsia="仿宋" w:cs="仿宋"/>
          <w:b/>
          <w:bCs/>
          <w:color w:val="auto"/>
          <w:highlight w:val="none"/>
          <w:u w:val="single"/>
        </w:rPr>
        <w:t>活动</w:t>
      </w:r>
      <w:r>
        <w:rPr>
          <w:rFonts w:hint="eastAsia" w:ascii="仿宋" w:hAnsi="仿宋" w:eastAsia="仿宋" w:cs="仿宋"/>
          <w:b/>
          <w:bCs/>
          <w:color w:val="auto"/>
          <w:highlight w:val="none"/>
          <w:u w:val="none"/>
        </w:rPr>
        <w:t>。</w:t>
      </w:r>
      <w:r>
        <w:rPr>
          <w:rFonts w:hint="eastAsia" w:ascii="仿宋" w:hAnsi="仿宋" w:eastAsia="仿宋" w:cs="仿宋"/>
          <w:color w:val="auto"/>
          <w:highlight w:val="none"/>
        </w:rPr>
        <w:t>按各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综合得分由高到低排序</w:t>
      </w:r>
      <w:r>
        <w:rPr>
          <w:rFonts w:hint="eastAsia" w:ascii="仿宋" w:hAnsi="仿宋" w:eastAsia="仿宋" w:cs="仿宋"/>
          <w:color w:val="auto"/>
          <w:highlight w:val="none"/>
          <w:lang w:eastAsia="zh-CN"/>
        </w:rPr>
        <w:t>。</w:t>
      </w:r>
    </w:p>
    <w:p w14:paraId="2D68B954">
      <w:pPr>
        <w:wordWrap w:val="0"/>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①如经淘汰20%后数量≤</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家时，则入围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数量为淘汰后的所有</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数量。</w:t>
      </w:r>
    </w:p>
    <w:p w14:paraId="475216E6">
      <w:pPr>
        <w:wordWrap w:val="0"/>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②当淘汰后</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家时，将确定得分排名前</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名的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为入围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（当满分</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家时，则由</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rPr>
        <w:t>随机抽取选取</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家</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确定为入围</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③当入围数量上限末位得分出现两家及以上并列的</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时</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则由</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rPr>
        <w:t>随机抽取选取</w:t>
      </w:r>
      <w:r>
        <w:rPr>
          <w:rFonts w:hint="eastAsia" w:ascii="仿宋" w:hAnsi="仿宋" w:eastAsia="仿宋" w:cs="仿宋"/>
          <w:color w:val="auto"/>
          <w:highlight w:val="none"/>
          <w:lang w:eastAsia="zh-CN"/>
        </w:rPr>
        <w:t>。</w:t>
      </w:r>
    </w:p>
    <w:p w14:paraId="4BB2BCCF">
      <w:pPr>
        <w:wordWrap w:val="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二、评分步骤：</w:t>
      </w:r>
    </w:p>
    <w:p w14:paraId="3AF85B29">
      <w:pPr>
        <w:pStyle w:val="9"/>
        <w:ind w:left="0" w:firstLine="480" w:firstLineChars="200"/>
        <w:jc w:val="both"/>
        <w:rPr>
          <w:rFonts w:hint="eastAsia" w:ascii="仿宋" w:hAnsi="仿宋" w:eastAsia="仿宋" w:cs="仿宋"/>
          <w:color w:val="auto"/>
          <w:highlight w:val="none"/>
        </w:rPr>
      </w:pPr>
      <w:r>
        <w:rPr>
          <w:rFonts w:hint="eastAsia" w:ascii="仿宋" w:hAnsi="仿宋" w:eastAsia="仿宋" w:cs="仿宋"/>
          <w:color w:val="auto"/>
          <w:highlight w:val="none"/>
        </w:rPr>
        <w:t>采购人与代理机构按法律法规和征集文件的规定，构成独立资格审查小组依据对</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进行资格审查，</w:t>
      </w:r>
      <w:r>
        <w:rPr>
          <w:rFonts w:hint="eastAsia" w:ascii="仿宋" w:hAnsi="仿宋" w:eastAsia="仿宋" w:cs="仿宋"/>
          <w:color w:val="auto"/>
          <w:highlight w:val="none"/>
          <w:lang w:eastAsia="zh-CN"/>
        </w:rPr>
        <w:t>评审委员会</w:t>
      </w:r>
      <w:r>
        <w:rPr>
          <w:rFonts w:hint="eastAsia" w:ascii="仿宋" w:hAnsi="仿宋" w:eastAsia="仿宋" w:cs="仿宋"/>
          <w:color w:val="auto"/>
          <w:highlight w:val="none"/>
        </w:rPr>
        <w:t>对响应文件进行符合性检查，然后进行评审打分。具体评审因素详见下表《评分细则》,本项目评分保留小数点后一位。</w:t>
      </w:r>
    </w:p>
    <w:p w14:paraId="31B09474">
      <w:pPr>
        <w:numPr>
          <w:ilvl w:val="0"/>
          <w:numId w:val="6"/>
        </w:numPr>
        <w:wordWrap w:val="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评分细则：</w:t>
      </w:r>
      <w:r>
        <w:rPr>
          <w:rFonts w:hint="eastAsia" w:ascii="仿宋" w:hAnsi="仿宋" w:eastAsia="仿宋" w:cs="仿宋"/>
          <w:b/>
          <w:bCs/>
          <w:color w:val="auto"/>
          <w:spacing w:val="-1"/>
          <w:sz w:val="24"/>
          <w:szCs w:val="24"/>
          <w:highlight w:val="none"/>
          <w:lang w:val="en-US" w:eastAsia="zh-CN"/>
        </w:rPr>
        <w:t>（A包）</w:t>
      </w:r>
    </w:p>
    <w:tbl>
      <w:tblPr>
        <w:tblStyle w:val="22"/>
        <w:tblpPr w:leftFromText="180" w:rightFromText="180" w:vertAnchor="text" w:horzAnchor="page" w:tblpX="1158" w:tblpY="506"/>
        <w:tblOverlap w:val="never"/>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7310"/>
        <w:gridCol w:w="930"/>
      </w:tblGrid>
      <w:tr w14:paraId="6452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0EE9166A">
            <w:pPr>
              <w:widowControl w:val="0"/>
              <w:numPr>
                <w:ilvl w:val="0"/>
                <w:numId w:val="0"/>
              </w:numPr>
              <w:jc w:val="center"/>
              <w:rPr>
                <w:rFonts w:hint="eastAsia" w:ascii="仿宋" w:hAnsi="仿宋" w:eastAsia="仿宋" w:cs="仿宋"/>
                <w:b/>
                <w:color w:val="auto"/>
                <w:szCs w:val="24"/>
                <w:highlight w:val="none"/>
                <w:lang w:eastAsia="zh-CN"/>
              </w:rPr>
            </w:pPr>
            <w:r>
              <w:rPr>
                <w:rFonts w:hint="eastAsia" w:ascii="仿宋" w:hAnsi="仿宋" w:eastAsia="仿宋" w:cs="仿宋"/>
                <w:b/>
                <w:sz w:val="24"/>
                <w:highlight w:val="none"/>
                <w:lang w:eastAsia="zh-CN"/>
              </w:rPr>
              <w:t>价格部分（</w:t>
            </w:r>
            <w:r>
              <w:rPr>
                <w:rFonts w:hint="eastAsia" w:ascii="仿宋" w:hAnsi="仿宋" w:cs="仿宋"/>
                <w:b/>
                <w:sz w:val="24"/>
                <w:highlight w:val="none"/>
                <w:lang w:val="en-US" w:eastAsia="zh-CN"/>
              </w:rPr>
              <w:t>3</w:t>
            </w:r>
            <w:r>
              <w:rPr>
                <w:rFonts w:hint="eastAsia" w:ascii="仿宋" w:hAnsi="仿宋" w:eastAsia="仿宋" w:cs="仿宋"/>
                <w:b/>
                <w:sz w:val="24"/>
                <w:highlight w:val="none"/>
                <w:lang w:val="en-US" w:eastAsia="zh-CN"/>
              </w:rPr>
              <w:t>0</w:t>
            </w:r>
            <w:r>
              <w:rPr>
                <w:rFonts w:hint="eastAsia" w:ascii="仿宋" w:hAnsi="仿宋" w:eastAsia="仿宋" w:cs="仿宋"/>
                <w:b/>
                <w:sz w:val="24"/>
                <w:highlight w:val="none"/>
                <w:lang w:eastAsia="zh-CN"/>
              </w:rPr>
              <w:t>分）</w:t>
            </w:r>
          </w:p>
        </w:tc>
      </w:tr>
      <w:tr w14:paraId="7956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2CDCC329">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评分内容</w:t>
            </w:r>
          </w:p>
        </w:tc>
        <w:tc>
          <w:tcPr>
            <w:tcW w:w="7310" w:type="dxa"/>
            <w:tcBorders>
              <w:top w:val="single" w:color="auto" w:sz="4" w:space="0"/>
              <w:left w:val="single" w:color="auto" w:sz="4" w:space="0"/>
              <w:bottom w:val="single" w:color="auto" w:sz="4" w:space="0"/>
              <w:right w:val="single" w:color="auto" w:sz="4" w:space="0"/>
            </w:tcBorders>
            <w:noWrap/>
            <w:vAlign w:val="center"/>
          </w:tcPr>
          <w:p w14:paraId="5E8AE418">
            <w:pPr>
              <w:widowControl w:val="0"/>
              <w:ind w:firstLine="361" w:firstLineChars="15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评分标准</w:t>
            </w:r>
          </w:p>
        </w:tc>
        <w:tc>
          <w:tcPr>
            <w:tcW w:w="930" w:type="dxa"/>
            <w:tcBorders>
              <w:top w:val="single" w:color="auto" w:sz="4" w:space="0"/>
              <w:left w:val="single" w:color="auto" w:sz="4" w:space="0"/>
              <w:bottom w:val="single" w:color="auto" w:sz="4" w:space="0"/>
              <w:right w:val="single" w:color="auto" w:sz="4" w:space="0"/>
            </w:tcBorders>
            <w:noWrap/>
            <w:vAlign w:val="center"/>
          </w:tcPr>
          <w:p w14:paraId="794F2FA4">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分值</w:t>
            </w:r>
          </w:p>
        </w:tc>
      </w:tr>
      <w:tr w14:paraId="6B18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61649155">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价格部分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3F2AC000">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投标承销费率基准值=各投标人承销费率报价算术平均值</w:t>
            </w:r>
          </w:p>
          <w:p w14:paraId="16F1C5E7">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投标人所报承销费率不得高于0.8‰；各有效报价与评审基准价相比，计算出偏离值P；P＝（投标人报价-评审基准价）*10000。</w:t>
            </w:r>
          </w:p>
          <w:p w14:paraId="6C8E4B99">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投标报价得分按以下方法计算：</w:t>
            </w:r>
          </w:p>
          <w:p w14:paraId="592F2CE9">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0-4*|P|</w:t>
            </w:r>
          </w:p>
          <w:p w14:paraId="45BF0CCB">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0-2*|P|；</w:t>
            </w:r>
          </w:p>
          <w:p w14:paraId="2ED30698">
            <w:pPr>
              <w:widowControl w:val="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投标报价得分最低为0分。</w:t>
            </w:r>
          </w:p>
          <w:p w14:paraId="4180A36E">
            <w:pPr>
              <w:widowControl w:val="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eastAsia="zh-CN"/>
              </w:rPr>
              <w:t>（投标报价应保留小数点后两位数字；计算分值时，按四舍五入原则，保留小数点后二位数字）</w:t>
            </w:r>
          </w:p>
        </w:tc>
        <w:tc>
          <w:tcPr>
            <w:tcW w:w="930" w:type="dxa"/>
            <w:tcBorders>
              <w:top w:val="single" w:color="auto" w:sz="4" w:space="0"/>
              <w:left w:val="single" w:color="auto" w:sz="4" w:space="0"/>
              <w:bottom w:val="single" w:color="auto" w:sz="4" w:space="0"/>
              <w:right w:val="single" w:color="auto" w:sz="4" w:space="0"/>
            </w:tcBorders>
            <w:noWrap/>
            <w:vAlign w:val="center"/>
          </w:tcPr>
          <w:p w14:paraId="1BDC4FB9">
            <w:pPr>
              <w:widowControl w:val="0"/>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0分</w:t>
            </w:r>
          </w:p>
        </w:tc>
      </w:tr>
      <w:tr w14:paraId="180D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0CCAA882">
            <w:pPr>
              <w:widowControl w:val="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w:t>
            </w:r>
            <w:r>
              <w:rPr>
                <w:rFonts w:hint="eastAsia" w:ascii="仿宋" w:hAnsi="仿宋" w:eastAsia="仿宋" w:cs="仿宋"/>
                <w:b/>
                <w:color w:val="auto"/>
                <w:szCs w:val="24"/>
                <w:highlight w:val="none"/>
                <w:lang w:val="en-US" w:eastAsia="zh-CN"/>
              </w:rPr>
              <w:t>二</w:t>
            </w:r>
            <w:r>
              <w:rPr>
                <w:rFonts w:hint="eastAsia" w:ascii="仿宋" w:hAnsi="仿宋" w:eastAsia="仿宋" w:cs="仿宋"/>
                <w:b/>
                <w:color w:val="auto"/>
                <w:szCs w:val="24"/>
                <w:highlight w:val="none"/>
              </w:rPr>
              <w:t>）技术部分（</w:t>
            </w:r>
            <w:r>
              <w:rPr>
                <w:rFonts w:hint="eastAsia" w:ascii="仿宋" w:hAnsi="仿宋" w:eastAsia="仿宋" w:cs="仿宋"/>
                <w:b/>
                <w:color w:val="auto"/>
                <w:szCs w:val="24"/>
                <w:highlight w:val="none"/>
                <w:lang w:val="en-US" w:eastAsia="zh-CN"/>
              </w:rPr>
              <w:t>40</w:t>
            </w:r>
            <w:r>
              <w:rPr>
                <w:rFonts w:hint="eastAsia" w:ascii="仿宋" w:hAnsi="仿宋" w:eastAsia="仿宋" w:cs="仿宋"/>
                <w:b/>
                <w:color w:val="auto"/>
                <w:szCs w:val="24"/>
                <w:highlight w:val="none"/>
              </w:rPr>
              <w:t>分）</w:t>
            </w:r>
          </w:p>
        </w:tc>
      </w:tr>
      <w:tr w14:paraId="1689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81DA6">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1748C">
            <w:pPr>
              <w:widowControl w:val="0"/>
              <w:ind w:firstLine="361" w:firstLineChars="15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22FDB3">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分值</w:t>
            </w:r>
          </w:p>
        </w:tc>
      </w:tr>
      <w:tr w14:paraId="15C6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4185F5B0">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技术指标及要求</w:t>
            </w:r>
          </w:p>
        </w:tc>
        <w:tc>
          <w:tcPr>
            <w:tcW w:w="7310" w:type="dxa"/>
            <w:tcBorders>
              <w:top w:val="single" w:color="auto" w:sz="4" w:space="0"/>
              <w:left w:val="single" w:color="auto" w:sz="4" w:space="0"/>
              <w:bottom w:val="single" w:color="auto" w:sz="4" w:space="0"/>
              <w:right w:val="single" w:color="auto" w:sz="4" w:space="0"/>
            </w:tcBorders>
            <w:noWrap/>
            <w:vAlign w:val="center"/>
          </w:tcPr>
          <w:p w14:paraId="6442DE23">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完全响应征集文件“第四章项目需求”，在</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中做出响应，任何一项不满足属于征集响应无效。</w:t>
            </w:r>
          </w:p>
          <w:p w14:paraId="4D084167">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评审依据：</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38258660">
            <w:pPr>
              <w:widowControl w:val="0"/>
              <w:jc w:val="center"/>
              <w:textAlignment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分</w:t>
            </w:r>
          </w:p>
        </w:tc>
      </w:tr>
      <w:tr w14:paraId="7C6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16408EA0">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实施方案</w:t>
            </w:r>
          </w:p>
        </w:tc>
        <w:tc>
          <w:tcPr>
            <w:tcW w:w="7310" w:type="dxa"/>
            <w:tcBorders>
              <w:top w:val="single" w:color="auto" w:sz="4" w:space="0"/>
              <w:left w:val="single" w:color="auto" w:sz="4" w:space="0"/>
              <w:bottom w:val="single" w:color="auto" w:sz="4" w:space="0"/>
              <w:right w:val="single" w:color="auto" w:sz="4" w:space="0"/>
            </w:tcBorders>
            <w:noWrap/>
            <w:vAlign w:val="center"/>
          </w:tcPr>
          <w:p w14:paraId="005D0FF7">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实施方案：服务商根据本项目实际要求，编制项目</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应当包含：①</w:t>
            </w:r>
            <w:r>
              <w:rPr>
                <w:rFonts w:hint="eastAsia" w:ascii="仿宋" w:hAnsi="仿宋" w:eastAsia="仿宋" w:cs="仿宋"/>
                <w:spacing w:val="2"/>
                <w:highlight w:val="none"/>
              </w:rPr>
              <w:t>发行方案建议</w:t>
            </w:r>
            <w:r>
              <w:rPr>
                <w:rFonts w:hint="eastAsia" w:ascii="仿宋" w:hAnsi="仿宋" w:eastAsia="仿宋" w:cs="仿宋"/>
                <w:color w:val="auto"/>
                <w:szCs w:val="24"/>
                <w:highlight w:val="none"/>
                <w:lang w:val="en-US" w:eastAsia="zh-CN"/>
              </w:rPr>
              <w:t>、②</w:t>
            </w:r>
            <w:r>
              <w:rPr>
                <w:rFonts w:hint="eastAsia" w:ascii="仿宋" w:hAnsi="仿宋" w:eastAsia="仿宋" w:cs="仿宋"/>
                <w:spacing w:val="2"/>
                <w:highlight w:val="none"/>
              </w:rPr>
              <w:t>合理的工作计划和时间安排</w:t>
            </w:r>
            <w:r>
              <w:rPr>
                <w:rFonts w:hint="eastAsia" w:ascii="仿宋" w:hAnsi="仿宋" w:eastAsia="仿宋" w:cs="仿宋"/>
                <w:color w:val="auto"/>
                <w:szCs w:val="24"/>
                <w:highlight w:val="none"/>
                <w:lang w:val="en-US" w:eastAsia="zh-CN"/>
              </w:rPr>
              <w:t>、③</w:t>
            </w:r>
            <w:r>
              <w:rPr>
                <w:rFonts w:hint="eastAsia" w:ascii="仿宋" w:hAnsi="仿宋" w:eastAsia="仿宋" w:cs="仿宋"/>
                <w:spacing w:val="2"/>
                <w:highlight w:val="none"/>
              </w:rPr>
              <w:t>政策判断、经济预测</w:t>
            </w:r>
            <w:r>
              <w:rPr>
                <w:rFonts w:hint="eastAsia" w:ascii="仿宋" w:hAnsi="仿宋" w:eastAsia="仿宋" w:cs="仿宋"/>
                <w:color w:val="auto"/>
                <w:szCs w:val="24"/>
                <w:highlight w:val="none"/>
                <w:lang w:val="en-US" w:eastAsia="zh-CN"/>
              </w:rPr>
              <w:t>、④</w:t>
            </w:r>
            <w:r>
              <w:rPr>
                <w:rFonts w:hint="eastAsia" w:ascii="仿宋" w:hAnsi="仿宋" w:eastAsia="仿宋" w:cs="仿宋"/>
                <w:spacing w:val="2"/>
                <w:highlight w:val="none"/>
              </w:rPr>
              <w:t>发行窗口把握能力</w:t>
            </w:r>
            <w:r>
              <w:rPr>
                <w:rFonts w:hint="eastAsia" w:ascii="仿宋" w:hAnsi="仿宋" w:eastAsia="仿宋" w:cs="仿宋"/>
                <w:color w:val="auto"/>
                <w:szCs w:val="24"/>
                <w:highlight w:val="none"/>
                <w:lang w:val="en-US" w:eastAsia="zh-CN"/>
              </w:rPr>
              <w:t>等内容；全部满足上述要求得2分，缺1项扣0.5分，在全部满足上述要求基础上，继续按以下标准评审：</w:t>
            </w:r>
          </w:p>
          <w:p w14:paraId="70AAF2DD">
            <w:pPr>
              <w:widowControl w:val="0"/>
              <w:numPr>
                <w:ilvl w:val="0"/>
                <w:numId w:val="7"/>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与采购项目需求吻合、内容阐述全面完整、表述清晰详细得8分。</w:t>
            </w:r>
          </w:p>
          <w:p w14:paraId="5CB0EC53">
            <w:pPr>
              <w:widowControl w:val="0"/>
              <w:numPr>
                <w:ilvl w:val="0"/>
                <w:numId w:val="0"/>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（2）与采购项目需求吻合、内容阐述较好、可操作性较好的得6分。</w:t>
            </w:r>
          </w:p>
          <w:p w14:paraId="24FE2703">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（3）与采购项目需求吻合、内容阐述一般、可操作性一般的得3分。</w:t>
            </w:r>
          </w:p>
          <w:p w14:paraId="0368CF28">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(4）与采购项目需求吻合、内容阐述不完整、简单得1分。</w:t>
            </w:r>
          </w:p>
          <w:p w14:paraId="72BA3B61">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（5）与采购项目需求出现偏差或错误不得分。</w:t>
            </w:r>
          </w:p>
          <w:p w14:paraId="17F74974">
            <w:pPr>
              <w:widowControl w:val="0"/>
              <w:jc w:val="both"/>
              <w:rPr>
                <w:rFonts w:hint="eastAsia" w:ascii="仿宋" w:hAnsi="仿宋" w:eastAsia="仿宋" w:cs="仿宋"/>
                <w:color w:val="auto"/>
                <w:szCs w:val="24"/>
                <w:highlight w:val="none"/>
              </w:rPr>
            </w:pPr>
            <w:r>
              <w:rPr>
                <w:rFonts w:hint="eastAsia" w:ascii="仿宋" w:hAnsi="仿宋" w:eastAsia="仿宋" w:cs="仿宋"/>
                <w:b/>
                <w:bCs/>
                <w:color w:val="auto"/>
                <w:szCs w:val="24"/>
                <w:highlight w:val="none"/>
                <w:lang w:val="en-US" w:eastAsia="zh-CN"/>
              </w:rPr>
              <w:t>评审依据：根据实施方案进行打分。</w:t>
            </w:r>
          </w:p>
        </w:tc>
        <w:tc>
          <w:tcPr>
            <w:tcW w:w="930" w:type="dxa"/>
            <w:tcBorders>
              <w:top w:val="single" w:color="auto" w:sz="4" w:space="0"/>
              <w:left w:val="single" w:color="auto" w:sz="4" w:space="0"/>
              <w:bottom w:val="single" w:color="auto" w:sz="4" w:space="0"/>
              <w:right w:val="single" w:color="auto" w:sz="4" w:space="0"/>
            </w:tcBorders>
            <w:noWrap/>
            <w:vAlign w:val="center"/>
          </w:tcPr>
          <w:p w14:paraId="26EB35D0">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10分</w:t>
            </w:r>
          </w:p>
        </w:tc>
      </w:tr>
      <w:tr w14:paraId="2AAC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07C53C77">
            <w:pPr>
              <w:widowControl w:val="0"/>
              <w:jc w:val="center"/>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w:t>
            </w:r>
            <w:r>
              <w:rPr>
                <w:rFonts w:hint="eastAsia" w:ascii="仿宋" w:hAnsi="仿宋" w:eastAsia="仿宋" w:cs="仿宋"/>
                <w:b/>
                <w:bCs/>
                <w:color w:val="auto"/>
                <w:szCs w:val="24"/>
                <w:highlight w:val="none"/>
                <w:lang w:val="en-US" w:eastAsia="zh-CN"/>
              </w:rPr>
              <w:t>三</w:t>
            </w:r>
            <w:r>
              <w:rPr>
                <w:rFonts w:hint="eastAsia" w:ascii="仿宋" w:hAnsi="仿宋" w:eastAsia="仿宋" w:cs="仿宋"/>
                <w:b/>
                <w:bCs/>
                <w:color w:val="auto"/>
                <w:szCs w:val="24"/>
                <w:highlight w:val="none"/>
              </w:rPr>
              <w:t>）商务部分（</w:t>
            </w:r>
            <w:r>
              <w:rPr>
                <w:rFonts w:hint="eastAsia" w:ascii="仿宋" w:hAnsi="仿宋" w:cs="仿宋"/>
                <w:b/>
                <w:bCs/>
                <w:color w:val="auto"/>
                <w:szCs w:val="24"/>
                <w:highlight w:val="none"/>
                <w:lang w:val="en-US" w:eastAsia="zh-CN"/>
              </w:rPr>
              <w:t>3</w:t>
            </w:r>
            <w:r>
              <w:rPr>
                <w:rFonts w:hint="eastAsia" w:ascii="仿宋" w:hAnsi="仿宋" w:eastAsia="仿宋" w:cs="仿宋"/>
                <w:b/>
                <w:bCs/>
                <w:color w:val="auto"/>
                <w:szCs w:val="24"/>
                <w:highlight w:val="none"/>
                <w:lang w:val="en-US" w:eastAsia="zh-CN"/>
              </w:rPr>
              <w:t>0</w:t>
            </w:r>
            <w:r>
              <w:rPr>
                <w:rFonts w:hint="eastAsia" w:ascii="仿宋" w:hAnsi="仿宋" w:eastAsia="仿宋" w:cs="仿宋"/>
                <w:b/>
                <w:bCs/>
                <w:color w:val="auto"/>
                <w:szCs w:val="24"/>
                <w:highlight w:val="none"/>
              </w:rPr>
              <w:t>分）</w:t>
            </w:r>
          </w:p>
        </w:tc>
      </w:tr>
      <w:tr w14:paraId="65B5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710751BD">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noWrap/>
            <w:vAlign w:val="center"/>
          </w:tcPr>
          <w:p w14:paraId="0D0FC412">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ign w:val="center"/>
          </w:tcPr>
          <w:p w14:paraId="2CA1AA05">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分值</w:t>
            </w:r>
          </w:p>
        </w:tc>
      </w:tr>
      <w:tr w14:paraId="6F17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1426D9B2">
            <w:pPr>
              <w:widowControl w:val="0"/>
              <w:jc w:val="center"/>
              <w:rPr>
                <w:rFonts w:hint="eastAsia" w:ascii="仿宋" w:hAnsi="仿宋" w:eastAsia="仿宋" w:cs="仿宋"/>
                <w:b/>
                <w:bCs/>
                <w:color w:val="auto"/>
                <w:szCs w:val="24"/>
                <w:highlight w:val="none"/>
              </w:rPr>
            </w:pPr>
            <w:r>
              <w:rPr>
                <w:rFonts w:hint="eastAsia" w:ascii="仿宋" w:hAnsi="仿宋" w:eastAsia="仿宋" w:cs="仿宋"/>
                <w:color w:val="auto"/>
                <w:szCs w:val="24"/>
                <w:highlight w:val="none"/>
                <w:lang w:val="en-US" w:eastAsia="zh-CN"/>
              </w:rPr>
              <w:t>分类评级（5分）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6E114E58">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中国证券业协会2024、2025年证券公司公司债券业务执业能力评价结果，分类评级两年都为A得5分，其中一年为A得4分，未获得A且其中一年为B得3分，两年为C得2分。</w:t>
            </w:r>
          </w:p>
          <w:p w14:paraId="6A2FD2E9">
            <w:pPr>
              <w:widowControl w:val="0"/>
              <w:jc w:val="both"/>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lang w:val="en-US" w:eastAsia="zh-CN"/>
              </w:rPr>
              <w:t>评审依据：中国证券业协会公布的2024年及2025年证券公司</w:t>
            </w:r>
            <w:r>
              <w:rPr>
                <w:rFonts w:hint="eastAsia" w:ascii="仿宋" w:hAnsi="仿宋" w:cs="仿宋"/>
                <w:b/>
                <w:bCs/>
                <w:color w:val="auto"/>
                <w:szCs w:val="24"/>
                <w:highlight w:val="none"/>
              </w:rPr>
              <w:t>债券业务</w:t>
            </w:r>
            <w:r>
              <w:rPr>
                <w:rFonts w:hint="eastAsia" w:ascii="仿宋" w:hAnsi="仿宋" w:eastAsia="仿宋" w:cs="仿宋"/>
                <w:b/>
                <w:bCs/>
                <w:color w:val="auto"/>
                <w:szCs w:val="24"/>
                <w:highlight w:val="none"/>
                <w:lang w:val="en-US" w:eastAsia="zh-CN"/>
              </w:rPr>
              <w:t>质量评价结果证明材料复印件加盖响应服务商公章，未提供或提供不符合要求不得分。（若此项指标与母公司合并统计的，请提供其母公司信息）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0DB2A1EF">
            <w:pPr>
              <w:widowControl w:val="0"/>
              <w:jc w:val="center"/>
              <w:rPr>
                <w:rFonts w:hint="eastAsia" w:ascii="仿宋" w:hAnsi="仿宋" w:eastAsia="仿宋" w:cs="仿宋"/>
                <w:b/>
                <w:bCs/>
                <w:color w:val="auto"/>
                <w:szCs w:val="24"/>
                <w:highlight w:val="none"/>
              </w:rPr>
            </w:pPr>
            <w:r>
              <w:rPr>
                <w:rFonts w:hint="eastAsia" w:ascii="仿宋" w:hAnsi="仿宋" w:eastAsia="仿宋" w:cs="仿宋"/>
                <w:color w:val="auto"/>
                <w:szCs w:val="24"/>
                <w:highlight w:val="none"/>
                <w:lang w:val="en-US" w:eastAsia="zh-CN"/>
              </w:rPr>
              <w:t>5分</w:t>
            </w:r>
          </w:p>
        </w:tc>
      </w:tr>
      <w:tr w14:paraId="3BB7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4703AB8E">
            <w:pPr>
              <w:spacing w:line="550" w:lineRule="exact"/>
              <w:rPr>
                <w:rFonts w:hint="eastAsia" w:ascii="仿宋" w:hAnsi="仿宋" w:eastAsia="仿宋" w:cs="仿宋"/>
                <w:color w:val="000000"/>
                <w:highlight w:val="none"/>
              </w:rPr>
            </w:pPr>
            <w:r>
              <w:rPr>
                <w:rFonts w:hint="eastAsia" w:ascii="宋体" w:hAnsi="宋体"/>
                <w:color w:val="000000"/>
                <w:highlight w:val="none"/>
                <w:lang w:val="en-US" w:eastAsia="zh-CN"/>
              </w:rPr>
              <w:t>江西省信用债承销只数</w:t>
            </w:r>
            <w:r>
              <w:rPr>
                <w:rFonts w:hint="eastAsia" w:ascii="宋体" w:hAnsi="宋体"/>
                <w:color w:val="000000"/>
                <w:highlight w:val="none"/>
              </w:rPr>
              <w:t>（</w:t>
            </w:r>
            <w:r>
              <w:rPr>
                <w:rFonts w:hint="eastAsia" w:ascii="宋体" w:hAnsi="宋体"/>
                <w:color w:val="000000"/>
                <w:highlight w:val="none"/>
                <w:lang w:val="en-US" w:eastAsia="zh-CN"/>
              </w:rPr>
              <w:t>10</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4EA6678D">
            <w:pPr>
              <w:spacing w:line="550" w:lineRule="exact"/>
              <w:jc w:val="left"/>
              <w:rPr>
                <w:rFonts w:hint="eastAsia" w:ascii="仿宋" w:hAnsi="仿宋" w:eastAsia="仿宋" w:cs="仿宋"/>
                <w:color w:val="auto"/>
                <w:szCs w:val="24"/>
                <w:highlight w:val="none"/>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江西省信用债券承销只数，以WIND“债券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统计-债券承销分地域排行-债券分类选择“公司债、企业债、短期融资券、定向工具及中期票据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宋体" w:hAnsi="宋体"/>
                <w:color w:val="000000"/>
                <w:highlight w:val="none"/>
                <w:lang w:eastAsia="zh-CN"/>
              </w:rPr>
              <w:t>：</w:t>
            </w:r>
            <w:r>
              <w:rPr>
                <w:rFonts w:hint="eastAsia" w:ascii="宋体" w:hAnsi="宋体"/>
                <w:color w:val="000000"/>
                <w:highlight w:val="none"/>
                <w:lang w:val="en-US" w:eastAsia="zh-CN"/>
              </w:rPr>
              <w:t>承销只数为1只以上</w:t>
            </w:r>
            <w:r>
              <w:rPr>
                <w:rFonts w:hint="eastAsia" w:ascii="仿宋" w:hAnsi="仿宋" w:cs="仿宋"/>
                <w:color w:val="auto"/>
                <w:szCs w:val="24"/>
                <w:highlight w:val="none"/>
                <w:lang w:val="en-US" w:eastAsia="zh-CN"/>
              </w:rPr>
              <w:t>（含本数）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5只</w:t>
            </w:r>
            <w:r>
              <w:rPr>
                <w:rFonts w:hint="eastAsia" w:ascii="仿宋" w:hAnsi="仿宋" w:eastAsia="仿宋" w:cs="仿宋"/>
                <w:color w:val="auto"/>
                <w:szCs w:val="24"/>
                <w:highlight w:val="none"/>
                <w:lang w:val="en-US" w:eastAsia="zh-CN"/>
              </w:rPr>
              <w:t>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，满分1</w:t>
            </w:r>
            <w:r>
              <w:rPr>
                <w:rFonts w:hint="eastAsia" w:ascii="仿宋" w:hAnsi="仿宋" w:cs="仿宋"/>
                <w:color w:val="auto"/>
                <w:szCs w:val="24"/>
                <w:highlight w:val="none"/>
                <w:lang w:val="en-US" w:eastAsia="zh-CN"/>
              </w:rPr>
              <w:t>0</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224B8047">
            <w:pPr>
              <w:spacing w:line="550" w:lineRule="exact"/>
              <w:jc w:val="left"/>
              <w:rPr>
                <w:rFonts w:hint="eastAsia" w:ascii="仿宋" w:hAnsi="仿宋" w:eastAsia="仿宋" w:cs="仿宋"/>
                <w:b/>
                <w:color w:val="000000"/>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r>
              <w:rPr>
                <w:rFonts w:hint="eastAsia" w:ascii="宋体" w:hAnsi="宋体"/>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28681386">
            <w:pPr>
              <w:spacing w:line="400" w:lineRule="exact"/>
              <w:jc w:val="center"/>
              <w:rPr>
                <w:rFonts w:hint="eastAsia" w:ascii="仿宋" w:hAnsi="仿宋" w:cs="仿宋"/>
                <w:color w:val="auto"/>
                <w:szCs w:val="24"/>
                <w:highlight w:val="none"/>
                <w:lang w:val="en-US" w:eastAsia="zh-CN"/>
              </w:rPr>
            </w:pPr>
            <w:r>
              <w:rPr>
                <w:rFonts w:hint="eastAsia" w:ascii="仿宋" w:hAnsi="仿宋" w:cs="仿宋"/>
                <w:color w:val="auto"/>
                <w:szCs w:val="24"/>
                <w:highlight w:val="none"/>
                <w:lang w:val="en-US" w:eastAsia="zh-CN"/>
              </w:rPr>
              <w:t>10</w:t>
            </w:r>
            <w:r>
              <w:rPr>
                <w:rFonts w:hint="eastAsia" w:ascii="仿宋" w:hAnsi="仿宋" w:eastAsia="仿宋" w:cs="仿宋"/>
                <w:color w:val="auto"/>
                <w:szCs w:val="24"/>
                <w:highlight w:val="none"/>
              </w:rPr>
              <w:t>分</w:t>
            </w:r>
          </w:p>
        </w:tc>
      </w:tr>
      <w:tr w14:paraId="28C0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463F5B54">
            <w:pPr>
              <w:spacing w:line="550" w:lineRule="exact"/>
              <w:rPr>
                <w:rFonts w:hint="eastAsia" w:ascii="仿宋" w:hAnsi="仿宋" w:eastAsia="仿宋" w:cs="仿宋"/>
                <w:color w:val="000000"/>
                <w:highlight w:val="none"/>
              </w:rPr>
            </w:pPr>
            <w:r>
              <w:rPr>
                <w:rFonts w:hint="eastAsia" w:ascii="宋体" w:hAnsi="宋体"/>
                <w:color w:val="000000"/>
                <w:highlight w:val="none"/>
                <w:lang w:val="en-US" w:eastAsia="zh-CN"/>
              </w:rPr>
              <w:t>江西省信用债承销规模</w:t>
            </w:r>
            <w:r>
              <w:rPr>
                <w:rFonts w:hint="eastAsia" w:ascii="宋体" w:hAnsi="宋体"/>
                <w:color w:val="000000"/>
                <w:highlight w:val="none"/>
              </w:rPr>
              <w:t>（</w:t>
            </w:r>
            <w:r>
              <w:rPr>
                <w:rFonts w:hint="eastAsia" w:ascii="宋体" w:hAnsi="宋体"/>
                <w:color w:val="000000"/>
                <w:highlight w:val="none"/>
                <w:lang w:val="en-US" w:eastAsia="zh-CN"/>
              </w:rPr>
              <w:t>5</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09B767A8">
            <w:pPr>
              <w:spacing w:line="550" w:lineRule="exact"/>
              <w:rPr>
                <w:rFonts w:hint="eastAsia" w:ascii="仿宋" w:hAnsi="仿宋" w:eastAsia="仿宋" w:cs="仿宋"/>
                <w:color w:val="auto"/>
                <w:highlight w:val="none"/>
                <w:shd w:val="clear"/>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江西省信用债券承销规模，以WIND“债券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统计-债券承销分地域排行-债券分类选择“公司债、企业债、短期融资券、定向工具及中期票据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仿宋" w:hAnsi="仿宋" w:cs="仿宋"/>
                <w:color w:val="auto"/>
                <w:highlight w:val="none"/>
                <w:shd w:val="clear"/>
              </w:rPr>
              <w:t>：</w:t>
            </w:r>
            <w:r>
              <w:rPr>
                <w:rFonts w:hint="eastAsia" w:ascii="仿宋" w:hAnsi="仿宋" w:eastAsia="仿宋" w:cs="仿宋"/>
                <w:color w:val="auto"/>
                <w:szCs w:val="24"/>
                <w:highlight w:val="none"/>
                <w:lang w:val="en-US" w:eastAsia="zh-CN"/>
              </w:rPr>
              <w:t>承销规模</w:t>
            </w:r>
            <w:r>
              <w:rPr>
                <w:rFonts w:hint="eastAsia" w:ascii="仿宋" w:hAnsi="仿宋" w:cs="仿宋"/>
                <w:color w:val="auto"/>
                <w:szCs w:val="24"/>
                <w:highlight w:val="none"/>
                <w:lang w:val="en-US" w:eastAsia="zh-CN"/>
              </w:rPr>
              <w:t>为1亿以上（含本数）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26</w:t>
            </w:r>
            <w:r>
              <w:rPr>
                <w:rFonts w:hint="eastAsia" w:ascii="仿宋" w:hAnsi="仿宋" w:eastAsia="仿宋" w:cs="仿宋"/>
                <w:color w:val="auto"/>
                <w:szCs w:val="24"/>
                <w:highlight w:val="none"/>
                <w:lang w:val="en-US" w:eastAsia="zh-CN"/>
              </w:rPr>
              <w:t>亿加1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42FCBA25">
            <w:pPr>
              <w:spacing w:line="400" w:lineRule="exact"/>
              <w:jc w:val="left"/>
              <w:rPr>
                <w:rFonts w:hint="eastAsia" w:ascii="仿宋" w:hAnsi="仿宋" w:eastAsia="仿宋" w:cs="仿宋"/>
                <w:b/>
                <w:color w:val="000000"/>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r>
              <w:rPr>
                <w:rFonts w:hint="eastAsia" w:ascii="宋体" w:hAnsi="宋体"/>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424C73A7">
            <w:pPr>
              <w:spacing w:line="400" w:lineRule="exact"/>
              <w:jc w:val="center"/>
              <w:rPr>
                <w:rFonts w:hint="eastAsia" w:ascii="仿宋" w:hAnsi="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4105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30FF8529">
            <w:pPr>
              <w:spacing w:line="400" w:lineRule="exact"/>
              <w:jc w:val="center"/>
              <w:rPr>
                <w:rFonts w:hint="eastAsia" w:ascii="仿宋" w:hAnsi="仿宋" w:eastAsia="仿宋" w:cs="仿宋"/>
                <w:color w:val="auto"/>
                <w:szCs w:val="24"/>
                <w:highlight w:val="none"/>
                <w:lang w:val="en-US" w:eastAsia="zh-CN"/>
              </w:rPr>
            </w:pPr>
            <w:r>
              <w:rPr>
                <w:rFonts w:hint="eastAsia" w:ascii="仿宋" w:hAnsi="仿宋" w:eastAsia="仿宋" w:cs="仿宋"/>
                <w:color w:val="000000"/>
                <w:highlight w:val="none"/>
              </w:rPr>
              <w:t>全国信用债券</w:t>
            </w:r>
            <w:r>
              <w:rPr>
                <w:rFonts w:hint="eastAsia" w:ascii="仿宋" w:hAnsi="仿宋" w:eastAsia="仿宋" w:cs="仿宋"/>
                <w:color w:val="auto"/>
                <w:szCs w:val="24"/>
                <w:highlight w:val="none"/>
                <w:lang w:val="en-US" w:eastAsia="zh-CN"/>
              </w:rPr>
              <w:t>承销</w:t>
            </w:r>
            <w:r>
              <w:rPr>
                <w:rFonts w:hint="eastAsia" w:ascii="仿宋" w:hAnsi="仿宋" w:cs="仿宋"/>
                <w:color w:val="auto"/>
                <w:szCs w:val="24"/>
                <w:highlight w:val="none"/>
                <w:lang w:val="en-US" w:eastAsia="zh-CN"/>
              </w:rPr>
              <w:t>规模</w:t>
            </w:r>
            <w:r>
              <w:rPr>
                <w:rFonts w:hint="eastAsia" w:ascii="仿宋" w:hAnsi="仿宋" w:eastAsia="仿宋" w:cs="仿宋"/>
                <w:color w:val="auto"/>
                <w:szCs w:val="24"/>
                <w:highlight w:val="none"/>
                <w:lang w:val="en-US" w:eastAsia="zh-CN"/>
              </w:rPr>
              <w:t>（</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794EC082">
            <w:pPr>
              <w:spacing w:line="550" w:lineRule="exact"/>
              <w:rPr>
                <w:rFonts w:hint="eastAsia" w:ascii="仿宋" w:hAnsi="仿宋" w:eastAsia="仿宋" w:cs="仿宋"/>
                <w:color w:val="auto"/>
                <w:szCs w:val="24"/>
                <w:highlight w:val="none"/>
                <w:lang w:val="en-US" w:eastAsia="zh-CN"/>
              </w:rPr>
            </w:pPr>
            <w:r>
              <w:rPr>
                <w:rFonts w:hint="eastAsia" w:ascii="宋体" w:hAnsi="宋体"/>
                <w:color w:val="000000"/>
                <w:highlight w:val="none"/>
                <w:lang w:val="en-US" w:eastAsia="zh-CN"/>
              </w:rPr>
              <w:t>2023年7月1日-2026年6月30日</w:t>
            </w:r>
            <w:r>
              <w:rPr>
                <w:rFonts w:hint="eastAsia" w:ascii="宋体" w:hAnsi="宋体"/>
                <w:color w:val="000000"/>
                <w:highlight w:val="none"/>
              </w:rPr>
              <w:t>全国公司债券承销规模，以WIND“债券</w:t>
            </w:r>
            <w:r>
              <w:rPr>
                <w:rFonts w:ascii="宋体" w:hAnsi="宋体"/>
                <w:color w:val="000000"/>
                <w:highlight w:val="none"/>
              </w:rPr>
              <w:t>-一级市场-承销</w:t>
            </w:r>
            <w:r>
              <w:rPr>
                <w:rFonts w:hint="eastAsia" w:ascii="宋体" w:hAnsi="宋体"/>
                <w:color w:val="000000"/>
                <w:highlight w:val="none"/>
              </w:rPr>
              <w:t>统计-债券承销排名（wind口径）-债券分类选择“</w:t>
            </w:r>
            <w:r>
              <w:rPr>
                <w:rFonts w:hint="eastAsia" w:ascii="宋体" w:hAnsi="宋体"/>
                <w:color w:val="000000"/>
                <w:highlight w:val="none"/>
                <w:lang w:val="en-US" w:eastAsia="zh-CN"/>
              </w:rPr>
              <w:t>企业债、私募债、一般</w:t>
            </w:r>
            <w:r>
              <w:rPr>
                <w:rFonts w:hint="eastAsia" w:ascii="宋体" w:hAnsi="宋体"/>
                <w:color w:val="000000"/>
                <w:highlight w:val="none"/>
              </w:rPr>
              <w:t>公司债、</w:t>
            </w:r>
            <w:r>
              <w:rPr>
                <w:rFonts w:hint="eastAsia" w:ascii="宋体" w:hAnsi="宋体"/>
                <w:color w:val="000000"/>
                <w:highlight w:val="none"/>
                <w:lang w:val="en-US" w:eastAsia="zh-CN"/>
              </w:rPr>
              <w:t>一般</w:t>
            </w:r>
            <w:r>
              <w:rPr>
                <w:rFonts w:hint="eastAsia" w:ascii="宋体" w:hAnsi="宋体"/>
                <w:color w:val="000000"/>
                <w:highlight w:val="none"/>
              </w:rPr>
              <w:t>短期融资券</w:t>
            </w:r>
            <w:r>
              <w:rPr>
                <w:rFonts w:hint="eastAsia" w:ascii="宋体" w:hAnsi="宋体"/>
                <w:color w:val="000000"/>
                <w:highlight w:val="none"/>
                <w:lang w:eastAsia="zh-CN"/>
              </w:rPr>
              <w:t>、</w:t>
            </w:r>
            <w:r>
              <w:rPr>
                <w:rFonts w:hint="eastAsia" w:ascii="宋体" w:hAnsi="宋体"/>
                <w:color w:val="000000"/>
                <w:highlight w:val="none"/>
                <w:lang w:val="en-US" w:eastAsia="zh-CN"/>
              </w:rPr>
              <w:t>超短期融资券</w:t>
            </w:r>
            <w:r>
              <w:rPr>
                <w:rFonts w:hint="eastAsia" w:ascii="宋体" w:hAnsi="宋体"/>
                <w:color w:val="000000"/>
                <w:highlight w:val="none"/>
              </w:rPr>
              <w:t>、定向工具及中期票据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仿宋" w:hAnsi="仿宋" w:eastAsia="仿宋" w:cs="仿宋"/>
                <w:color w:val="auto"/>
                <w:szCs w:val="24"/>
                <w:highlight w:val="none"/>
                <w:lang w:val="en-US" w:eastAsia="zh-CN"/>
              </w:rPr>
              <w:t>：承销规模</w:t>
            </w:r>
            <w:r>
              <w:rPr>
                <w:rFonts w:hint="eastAsia" w:ascii="仿宋" w:hAnsi="仿宋" w:cs="仿宋"/>
                <w:color w:val="auto"/>
                <w:szCs w:val="24"/>
                <w:highlight w:val="none"/>
                <w:lang w:val="en-US" w:eastAsia="zh-CN"/>
              </w:rPr>
              <w:t>为1亿以上（含本数）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80</w:t>
            </w:r>
            <w:r>
              <w:rPr>
                <w:rFonts w:hint="eastAsia" w:ascii="仿宋" w:hAnsi="仿宋" w:eastAsia="仿宋" w:cs="仿宋"/>
                <w:color w:val="auto"/>
                <w:szCs w:val="24"/>
                <w:highlight w:val="none"/>
                <w:lang w:val="en-US" w:eastAsia="zh-CN"/>
              </w:rPr>
              <w:t>0亿加1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4DB5BD1B">
            <w:pPr>
              <w:spacing w:line="400" w:lineRule="exact"/>
              <w:jc w:val="left"/>
              <w:rPr>
                <w:rFonts w:hint="eastAsia" w:ascii="仿宋" w:hAnsi="仿宋" w:eastAsia="仿宋" w:cs="仿宋"/>
                <w:color w:val="auto"/>
                <w:szCs w:val="24"/>
                <w:highlight w:val="none"/>
              </w:rPr>
            </w:pPr>
            <w:r>
              <w:rPr>
                <w:rFonts w:hint="eastAsia" w:ascii="仿宋" w:hAnsi="仿宋" w:eastAsia="仿宋" w:cs="仿宋"/>
                <w:b/>
                <w:color w:val="000000"/>
                <w:highlight w:val="none"/>
              </w:rPr>
              <w:t>评审依据：提供承销业绩列表和wind截图并加盖公章（若响应服务商的业绩、规模、排名等指标与母公司合并统计的，请提供其母公司信息）</w:t>
            </w:r>
            <w:r>
              <w:rPr>
                <w:rFonts w:hint="eastAsia" w:ascii="仿宋" w:hAnsi="仿宋" w:eastAsia="仿宋" w:cs="仿宋"/>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6ACF7B00">
            <w:pPr>
              <w:spacing w:line="400" w:lineRule="exact"/>
              <w:jc w:val="center"/>
              <w:rPr>
                <w:rFonts w:hint="eastAsia" w:ascii="仿宋" w:hAnsi="仿宋" w:eastAsia="仿宋" w:cs="仿宋"/>
                <w:color w:val="auto"/>
                <w:szCs w:val="24"/>
                <w:highlight w:val="none"/>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2423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38" w:type="dxa"/>
            <w:tcBorders>
              <w:top w:val="single" w:color="auto" w:sz="4" w:space="0"/>
              <w:left w:val="single" w:color="auto" w:sz="4" w:space="0"/>
              <w:bottom w:val="single" w:color="auto" w:sz="4" w:space="0"/>
              <w:right w:val="single" w:color="auto" w:sz="4" w:space="0"/>
            </w:tcBorders>
            <w:noWrap/>
            <w:vAlign w:val="center"/>
          </w:tcPr>
          <w:p w14:paraId="54638D2B">
            <w:pPr>
              <w:spacing w:line="400" w:lineRule="exact"/>
              <w:jc w:val="center"/>
              <w:rPr>
                <w:rFonts w:hint="eastAsia" w:ascii="仿宋" w:hAnsi="仿宋" w:eastAsia="仿宋" w:cs="仿宋"/>
                <w:color w:val="auto"/>
                <w:szCs w:val="24"/>
                <w:highlight w:val="none"/>
                <w:lang w:val="en-US" w:eastAsia="zh-CN"/>
              </w:rPr>
            </w:pPr>
            <w:r>
              <w:rPr>
                <w:rFonts w:hint="eastAsia" w:ascii="仿宋" w:hAnsi="仿宋" w:eastAsia="仿宋" w:cs="仿宋"/>
                <w:color w:val="000000"/>
                <w:highlight w:val="none"/>
              </w:rPr>
              <w:t>全国信用债券</w:t>
            </w:r>
            <w:r>
              <w:rPr>
                <w:rFonts w:hint="eastAsia" w:ascii="仿宋" w:hAnsi="仿宋" w:cs="仿宋"/>
                <w:color w:val="auto"/>
                <w:szCs w:val="24"/>
                <w:highlight w:val="none"/>
                <w:lang w:val="en-US" w:eastAsia="zh-CN"/>
              </w:rPr>
              <w:t>发行成功率</w:t>
            </w:r>
            <w:r>
              <w:rPr>
                <w:rFonts w:hint="eastAsia" w:ascii="仿宋" w:hAnsi="仿宋" w:eastAsia="仿宋" w:cs="仿宋"/>
                <w:color w:val="auto"/>
                <w:szCs w:val="24"/>
                <w:highlight w:val="none"/>
                <w:lang w:val="en-US" w:eastAsia="zh-CN"/>
              </w:rPr>
              <w:t>（</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6AC6DFF3">
            <w:pPr>
              <w:spacing w:line="550" w:lineRule="exact"/>
              <w:rPr>
                <w:rFonts w:hint="eastAsia" w:ascii="仿宋" w:hAnsi="仿宋" w:cs="仿宋"/>
                <w:color w:val="auto"/>
                <w:highlight w:val="none"/>
                <w:lang w:val="en-US" w:eastAsia="zh-CN"/>
              </w:rPr>
            </w:pPr>
            <w:r>
              <w:rPr>
                <w:rFonts w:hint="eastAsia" w:ascii="仿宋" w:hAnsi="仿宋" w:cs="仿宋"/>
                <w:color w:val="auto"/>
                <w:highlight w:val="none"/>
                <w:lang w:val="en-US" w:eastAsia="zh-CN"/>
              </w:rPr>
              <w:t>比较各投标人2023年7月1日-2026年6月30日主承销的信用债券承销总只数（以“Wind 数据库-债券-专题统计-一级市场-承销统计-债券承销排名（Wind 口径）为准）占投标人2023年7月1日-2026年6月30日主承销的信用债券承销总只数（以“Wind数据库-债券-专题统计-一级市场-承销统计-债券承销排名（Wind口径）为准）及投标人在2023年7月1日-2026年6月30日主承销的信用债券取消发行只数（以“Wind数据库-债券-专题统计-一级市场-新券发行-推迟或取消发行债券”-“取消发行”为准）之和的比例：</w:t>
            </w:r>
          </w:p>
          <w:p w14:paraId="0B9AE077">
            <w:pPr>
              <w:spacing w:line="550" w:lineRule="exact"/>
              <w:rPr>
                <w:rFonts w:hint="eastAsia" w:ascii="仿宋" w:hAnsi="仿宋" w:cs="仿宋"/>
                <w:color w:val="auto"/>
                <w:highlight w:val="none"/>
                <w:lang w:val="en-US" w:eastAsia="zh-CN"/>
              </w:rPr>
            </w:pPr>
            <w:r>
              <w:rPr>
                <w:rFonts w:hint="eastAsia" w:ascii="仿宋" w:hAnsi="仿宋" w:cs="仿宋"/>
                <w:color w:val="auto"/>
                <w:highlight w:val="none"/>
                <w:lang w:val="en-US" w:eastAsia="zh-CN"/>
              </w:rPr>
              <w:t>2023年7月1日-2026年6月30日，投标人主承销的信用债券承销总只数占主承销的信用债券承销总只数及主承销的信用债券取消发行只数之和的比例不低于98%的，得5分；低于98%且不低于95%的，得4分；低于95%且不低于90%的，得3分；低于90%的不得分。</w:t>
            </w:r>
          </w:p>
          <w:p w14:paraId="310D3903">
            <w:pPr>
              <w:spacing w:line="400" w:lineRule="exact"/>
              <w:jc w:val="center"/>
              <w:rPr>
                <w:rFonts w:hint="eastAsia" w:ascii="仿宋" w:hAnsi="仿宋" w:eastAsia="仿宋" w:cs="仿宋"/>
                <w:b/>
                <w:color w:val="000000"/>
                <w:highlight w:val="none"/>
              </w:rPr>
            </w:pPr>
            <w:r>
              <w:rPr>
                <w:rFonts w:hint="eastAsia" w:ascii="宋体" w:hAnsi="宋体" w:eastAsia="仿宋" w:cs="Times New Roman"/>
                <w:b/>
                <w:bCs w:val="0"/>
                <w:snapToGrid/>
                <w:color w:val="000000"/>
                <w:sz w:val="24"/>
                <w:szCs w:val="22"/>
                <w:highlight w:val="none"/>
                <w:lang w:val="en-US" w:eastAsia="zh-CN" w:bidi="ar-SA"/>
              </w:rPr>
              <w:t>评审依据：投标人提供Wind终端查询截图</w:t>
            </w:r>
            <w:r>
              <w:rPr>
                <w:rFonts w:hint="eastAsia" w:ascii="宋体" w:hAnsi="宋体" w:cs="Times New Roman"/>
                <w:b/>
                <w:bCs w:val="0"/>
                <w:snapToGrid/>
                <w:color w:val="000000"/>
                <w:sz w:val="24"/>
                <w:szCs w:val="22"/>
                <w:highlight w:val="none"/>
                <w:lang w:val="en-US" w:eastAsia="zh-CN" w:bidi="ar-SA"/>
              </w:rPr>
              <w:t>及计算过程</w:t>
            </w:r>
            <w:r>
              <w:rPr>
                <w:rFonts w:hint="eastAsia" w:ascii="宋体" w:hAnsi="宋体" w:eastAsia="仿宋" w:cs="Times New Roman"/>
                <w:b/>
                <w:bCs w:val="0"/>
                <w:snapToGrid/>
                <w:color w:val="000000"/>
                <w:sz w:val="24"/>
                <w:szCs w:val="22"/>
                <w:highlight w:val="none"/>
                <w:lang w:val="en-US" w:eastAsia="zh-CN" w:bidi="ar-SA"/>
              </w:rPr>
              <w:t>并加盖公章。</w:t>
            </w:r>
            <w:r>
              <w:rPr>
                <w:rFonts w:hint="eastAsia" w:ascii="仿宋" w:hAnsi="仿宋" w:eastAsia="仿宋" w:cs="仿宋"/>
                <w:b/>
                <w:color w:val="000000"/>
                <w:highlight w:val="none"/>
              </w:rPr>
              <w:t>评审依据：提供承销业绩列表和wind截图并加盖公章（若响应服务商的业绩、规模、排名等指标与母公司合并统计的，请提供其母公司信息）</w:t>
            </w:r>
            <w:r>
              <w:rPr>
                <w:rFonts w:hint="eastAsia" w:ascii="仿宋" w:hAnsi="仿宋" w:eastAsia="仿宋" w:cs="仿宋"/>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1CD769AB">
            <w:pPr>
              <w:spacing w:line="400" w:lineRule="exact"/>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r>
    </w:tbl>
    <w:p w14:paraId="15206412">
      <w:pPr>
        <w:rPr>
          <w:rFonts w:hint="eastAsia" w:ascii="仿宋" w:hAnsi="仿宋" w:eastAsia="仿宋" w:cs="仿宋"/>
          <w:b/>
          <w:color w:val="auto"/>
          <w:sz w:val="28"/>
          <w:szCs w:val="28"/>
          <w:highlight w:val="none"/>
        </w:rPr>
      </w:pPr>
    </w:p>
    <w:p w14:paraId="1E988F83">
      <w:pPr>
        <w:rPr>
          <w:rFonts w:hint="eastAsia" w:ascii="仿宋" w:hAnsi="仿宋" w:eastAsia="仿宋" w:cs="仿宋"/>
          <w:color w:val="auto"/>
          <w:highlight w:val="none"/>
        </w:rPr>
      </w:pPr>
    </w:p>
    <w:p w14:paraId="62D1E45A">
      <w:pPr>
        <w:numPr>
          <w:ilvl w:val="0"/>
          <w:numId w:val="0"/>
        </w:numPr>
        <w:wordWrap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br w:type="page"/>
      </w:r>
      <w:r>
        <w:rPr>
          <w:rFonts w:hint="eastAsia" w:ascii="仿宋" w:hAnsi="仿宋" w:eastAsia="仿宋" w:cs="仿宋"/>
          <w:b/>
          <w:bCs/>
          <w:color w:val="auto"/>
          <w:spacing w:val="-1"/>
          <w:sz w:val="24"/>
          <w:szCs w:val="24"/>
          <w:highlight w:val="none"/>
          <w:lang w:val="en-US" w:eastAsia="zh-CN"/>
        </w:rPr>
        <w:t>（B包）</w:t>
      </w:r>
    </w:p>
    <w:tbl>
      <w:tblPr>
        <w:tblStyle w:val="22"/>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7310"/>
        <w:gridCol w:w="930"/>
      </w:tblGrid>
      <w:tr w14:paraId="35E8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656DCDE8">
            <w:pPr>
              <w:widowControl w:val="0"/>
              <w:numPr>
                <w:ilvl w:val="0"/>
                <w:numId w:val="0"/>
              </w:numPr>
              <w:jc w:val="center"/>
              <w:rPr>
                <w:rFonts w:hint="eastAsia" w:ascii="仿宋" w:hAnsi="仿宋" w:eastAsia="仿宋" w:cs="仿宋"/>
                <w:b/>
                <w:color w:val="auto"/>
                <w:szCs w:val="24"/>
                <w:highlight w:val="none"/>
                <w:lang w:eastAsia="zh-CN"/>
              </w:rPr>
            </w:pPr>
            <w:r>
              <w:rPr>
                <w:rFonts w:hint="eastAsia" w:ascii="仿宋" w:hAnsi="仿宋" w:eastAsia="仿宋" w:cs="仿宋"/>
                <w:b/>
                <w:sz w:val="24"/>
                <w:highlight w:val="none"/>
                <w:lang w:eastAsia="zh-CN"/>
              </w:rPr>
              <w:t>（</w:t>
            </w:r>
            <w:r>
              <w:rPr>
                <w:rFonts w:hint="eastAsia" w:ascii="仿宋" w:hAnsi="仿宋" w:eastAsia="仿宋" w:cs="仿宋"/>
                <w:b/>
                <w:sz w:val="24"/>
                <w:highlight w:val="none"/>
                <w:lang w:val="en-US" w:eastAsia="zh-CN"/>
              </w:rPr>
              <w:t>一</w:t>
            </w:r>
            <w:r>
              <w:rPr>
                <w:rFonts w:hint="eastAsia" w:ascii="仿宋" w:hAnsi="仿宋" w:eastAsia="仿宋" w:cs="仿宋"/>
                <w:b/>
                <w:sz w:val="24"/>
                <w:highlight w:val="none"/>
                <w:lang w:eastAsia="zh-CN"/>
              </w:rPr>
              <w:t>）价格部分（</w:t>
            </w:r>
            <w:r>
              <w:rPr>
                <w:rFonts w:hint="eastAsia" w:ascii="仿宋" w:hAnsi="仿宋" w:cs="仿宋"/>
                <w:b/>
                <w:sz w:val="24"/>
                <w:highlight w:val="none"/>
                <w:lang w:val="en-US" w:eastAsia="zh-CN"/>
              </w:rPr>
              <w:t>3</w:t>
            </w:r>
            <w:r>
              <w:rPr>
                <w:rFonts w:hint="eastAsia" w:ascii="仿宋" w:hAnsi="仿宋" w:eastAsia="仿宋" w:cs="仿宋"/>
                <w:b/>
                <w:sz w:val="24"/>
                <w:highlight w:val="none"/>
                <w:lang w:val="en-US" w:eastAsia="zh-CN"/>
              </w:rPr>
              <w:t>0</w:t>
            </w:r>
            <w:r>
              <w:rPr>
                <w:rFonts w:hint="eastAsia" w:ascii="仿宋" w:hAnsi="仿宋" w:eastAsia="仿宋" w:cs="仿宋"/>
                <w:b/>
                <w:sz w:val="24"/>
                <w:highlight w:val="none"/>
                <w:lang w:eastAsia="zh-CN"/>
              </w:rPr>
              <w:t>分）</w:t>
            </w:r>
          </w:p>
        </w:tc>
      </w:tr>
      <w:tr w14:paraId="7D4E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6A83B91C">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评分内容</w:t>
            </w:r>
          </w:p>
        </w:tc>
        <w:tc>
          <w:tcPr>
            <w:tcW w:w="7310" w:type="dxa"/>
            <w:tcBorders>
              <w:top w:val="single" w:color="auto" w:sz="4" w:space="0"/>
              <w:left w:val="single" w:color="auto" w:sz="4" w:space="0"/>
              <w:bottom w:val="single" w:color="auto" w:sz="4" w:space="0"/>
              <w:right w:val="single" w:color="auto" w:sz="4" w:space="0"/>
            </w:tcBorders>
            <w:noWrap/>
            <w:vAlign w:val="center"/>
          </w:tcPr>
          <w:p w14:paraId="714B4B88">
            <w:pPr>
              <w:widowControl w:val="0"/>
              <w:ind w:firstLine="361" w:firstLineChars="15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评分标准</w:t>
            </w:r>
          </w:p>
        </w:tc>
        <w:tc>
          <w:tcPr>
            <w:tcW w:w="930" w:type="dxa"/>
            <w:tcBorders>
              <w:top w:val="single" w:color="auto" w:sz="4" w:space="0"/>
              <w:left w:val="single" w:color="auto" w:sz="4" w:space="0"/>
              <w:bottom w:val="single" w:color="auto" w:sz="4" w:space="0"/>
              <w:right w:val="single" w:color="auto" w:sz="4" w:space="0"/>
            </w:tcBorders>
            <w:noWrap/>
            <w:vAlign w:val="center"/>
          </w:tcPr>
          <w:p w14:paraId="4DA8C48E">
            <w:pPr>
              <w:widowControl w:val="0"/>
              <w:jc w:val="both"/>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分值</w:t>
            </w:r>
          </w:p>
        </w:tc>
      </w:tr>
      <w:tr w14:paraId="6E7F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48F2C7E4">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价格部分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DC3B639">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投标承销费率基准值=各投标人承销费率报价算术平均值</w:t>
            </w:r>
          </w:p>
          <w:p w14:paraId="5725DF31">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投标人所报承销费率不得高于0.8‰；各有效报价与评审基准价相比，计算出偏离值P；P＝（投标人报价-评审基准价）*10000。</w:t>
            </w:r>
          </w:p>
          <w:p w14:paraId="38A03C92">
            <w:pPr>
              <w:widowControl w:val="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投标报价得分按以下方法计算：</w:t>
            </w:r>
          </w:p>
          <w:p w14:paraId="2224C759">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0-4*|P|</w:t>
            </w:r>
          </w:p>
          <w:p w14:paraId="52CE23A5">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当P＜0 时，投标报价得分=</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eastAsia="zh-CN"/>
              </w:rPr>
              <w:t>0-2*|P|；</w:t>
            </w:r>
          </w:p>
          <w:p w14:paraId="0081999B">
            <w:pPr>
              <w:widowControl w:val="0"/>
              <w:ind w:firstLine="480" w:firstLineChars="200"/>
              <w:jc w:val="lef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投标报价得分最低为0分。</w:t>
            </w:r>
          </w:p>
          <w:p w14:paraId="558CF5B5">
            <w:pPr>
              <w:widowControl w:val="0"/>
              <w:jc w:val="lef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eastAsia="zh-CN"/>
              </w:rPr>
              <w:t>（投标报价应保留小数点后两位数字；计算分值时，按四舍五入原则，保留小数点后二位数字）</w:t>
            </w:r>
          </w:p>
        </w:tc>
        <w:tc>
          <w:tcPr>
            <w:tcW w:w="930" w:type="dxa"/>
            <w:tcBorders>
              <w:top w:val="single" w:color="auto" w:sz="4" w:space="0"/>
              <w:left w:val="single" w:color="auto" w:sz="4" w:space="0"/>
              <w:bottom w:val="single" w:color="auto" w:sz="4" w:space="0"/>
              <w:right w:val="single" w:color="auto" w:sz="4" w:space="0"/>
            </w:tcBorders>
            <w:noWrap/>
            <w:vAlign w:val="center"/>
          </w:tcPr>
          <w:p w14:paraId="7C4EBDDB">
            <w:pPr>
              <w:widowControl w:val="0"/>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0分</w:t>
            </w:r>
          </w:p>
        </w:tc>
      </w:tr>
      <w:tr w14:paraId="534F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72E6068D">
            <w:pPr>
              <w:widowControl w:val="0"/>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w:t>
            </w:r>
            <w:r>
              <w:rPr>
                <w:rFonts w:hint="eastAsia" w:ascii="仿宋" w:hAnsi="仿宋" w:eastAsia="仿宋" w:cs="仿宋"/>
                <w:b/>
                <w:color w:val="auto"/>
                <w:szCs w:val="24"/>
                <w:highlight w:val="none"/>
                <w:lang w:val="en-US" w:eastAsia="zh-CN"/>
              </w:rPr>
              <w:t>二</w:t>
            </w:r>
            <w:r>
              <w:rPr>
                <w:rFonts w:hint="eastAsia" w:ascii="仿宋" w:hAnsi="仿宋" w:eastAsia="仿宋" w:cs="仿宋"/>
                <w:b/>
                <w:color w:val="auto"/>
                <w:szCs w:val="24"/>
                <w:highlight w:val="none"/>
              </w:rPr>
              <w:t>）技术部分（</w:t>
            </w:r>
            <w:r>
              <w:rPr>
                <w:rFonts w:hint="eastAsia" w:ascii="仿宋" w:hAnsi="仿宋" w:eastAsia="仿宋" w:cs="仿宋"/>
                <w:b/>
                <w:color w:val="auto"/>
                <w:szCs w:val="24"/>
                <w:highlight w:val="none"/>
                <w:lang w:val="en-US" w:eastAsia="zh-CN"/>
              </w:rPr>
              <w:t>40</w:t>
            </w:r>
            <w:r>
              <w:rPr>
                <w:rFonts w:hint="eastAsia" w:ascii="仿宋" w:hAnsi="仿宋" w:eastAsia="仿宋" w:cs="仿宋"/>
                <w:b/>
                <w:color w:val="auto"/>
                <w:szCs w:val="24"/>
                <w:highlight w:val="none"/>
              </w:rPr>
              <w:t>分）</w:t>
            </w:r>
          </w:p>
        </w:tc>
      </w:tr>
      <w:tr w14:paraId="01D1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1D06F">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6D746">
            <w:pPr>
              <w:widowControl w:val="0"/>
              <w:ind w:firstLine="361" w:firstLineChars="15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30C2EB">
            <w:pPr>
              <w:widowControl w:val="0"/>
              <w:jc w:val="center"/>
              <w:rPr>
                <w:rFonts w:hint="eastAsia" w:ascii="仿宋" w:hAnsi="仿宋" w:eastAsia="仿宋" w:cs="仿宋"/>
                <w:b/>
                <w:color w:val="auto"/>
                <w:sz w:val="24"/>
                <w:szCs w:val="24"/>
                <w:highlight w:val="none"/>
                <w:lang w:val="en-US" w:eastAsia="zh-CN" w:bidi="ar-SA"/>
              </w:rPr>
            </w:pPr>
            <w:r>
              <w:rPr>
                <w:rFonts w:hint="eastAsia" w:ascii="仿宋" w:hAnsi="仿宋" w:eastAsia="仿宋" w:cs="仿宋"/>
                <w:b/>
                <w:color w:val="auto"/>
                <w:szCs w:val="24"/>
                <w:highlight w:val="none"/>
              </w:rPr>
              <w:t>分值</w:t>
            </w:r>
          </w:p>
        </w:tc>
      </w:tr>
      <w:tr w14:paraId="69E3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2871EAF6">
            <w:pPr>
              <w:widowControl w:val="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技术指标及要求</w:t>
            </w:r>
          </w:p>
        </w:tc>
        <w:tc>
          <w:tcPr>
            <w:tcW w:w="7310" w:type="dxa"/>
            <w:tcBorders>
              <w:top w:val="single" w:color="auto" w:sz="4" w:space="0"/>
              <w:left w:val="single" w:color="auto" w:sz="4" w:space="0"/>
              <w:bottom w:val="single" w:color="auto" w:sz="4" w:space="0"/>
              <w:right w:val="single" w:color="auto" w:sz="4" w:space="0"/>
            </w:tcBorders>
            <w:noWrap/>
            <w:vAlign w:val="center"/>
          </w:tcPr>
          <w:p w14:paraId="2B9C9DE8">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完全响应征集文件“第四章项目需求”，在</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中做出响应，任何一项不满足属于征集响应无效。</w:t>
            </w:r>
          </w:p>
          <w:p w14:paraId="67DB053F">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评审依据：</w:t>
            </w:r>
            <w:r>
              <w:rPr>
                <w:rFonts w:hint="eastAsia" w:ascii="仿宋" w:hAnsi="仿宋" w:eastAsia="仿宋" w:cs="仿宋"/>
                <w:color w:val="auto"/>
                <w:highlight w:val="none"/>
              </w:rPr>
              <w:t>需求偏离情况说明表</w:t>
            </w:r>
            <w:r>
              <w:rPr>
                <w:rFonts w:hint="eastAsia" w:ascii="仿宋" w:hAnsi="仿宋" w:eastAsia="仿宋" w:cs="仿宋"/>
                <w:color w:val="auto"/>
                <w:szCs w:val="24"/>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6E424938">
            <w:pPr>
              <w:widowControl w:val="0"/>
              <w:jc w:val="center"/>
              <w:textAlignment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分</w:t>
            </w:r>
          </w:p>
        </w:tc>
      </w:tr>
      <w:tr w14:paraId="1FA5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E138852">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实施方案</w:t>
            </w:r>
          </w:p>
        </w:tc>
        <w:tc>
          <w:tcPr>
            <w:tcW w:w="7310" w:type="dxa"/>
            <w:tcBorders>
              <w:top w:val="single" w:color="auto" w:sz="4" w:space="0"/>
              <w:left w:val="single" w:color="auto" w:sz="4" w:space="0"/>
              <w:bottom w:val="single" w:color="auto" w:sz="4" w:space="0"/>
              <w:right w:val="single" w:color="auto" w:sz="4" w:space="0"/>
            </w:tcBorders>
            <w:noWrap/>
            <w:vAlign w:val="center"/>
          </w:tcPr>
          <w:p w14:paraId="423D8227">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实施方案：服务商根据本项目实际要求，编制项目</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w:t>
            </w:r>
            <w:r>
              <w:rPr>
                <w:rFonts w:hint="eastAsia" w:ascii="仿宋" w:hAnsi="仿宋" w:eastAsia="仿宋" w:cs="仿宋"/>
                <w:spacing w:val="2"/>
                <w:highlight w:val="none"/>
              </w:rPr>
              <w:t>体发行方案</w:t>
            </w:r>
            <w:r>
              <w:rPr>
                <w:rFonts w:hint="eastAsia" w:ascii="仿宋" w:hAnsi="仿宋" w:eastAsia="仿宋" w:cs="仿宋"/>
                <w:color w:val="auto"/>
                <w:szCs w:val="24"/>
                <w:highlight w:val="none"/>
                <w:lang w:val="en-US" w:eastAsia="zh-CN"/>
              </w:rPr>
              <w:t>应当包含：①</w:t>
            </w:r>
            <w:r>
              <w:rPr>
                <w:rFonts w:hint="eastAsia" w:ascii="仿宋" w:hAnsi="仿宋" w:eastAsia="仿宋" w:cs="仿宋"/>
                <w:spacing w:val="2"/>
                <w:highlight w:val="none"/>
              </w:rPr>
              <w:t>发行方案建议</w:t>
            </w:r>
            <w:r>
              <w:rPr>
                <w:rFonts w:hint="eastAsia" w:ascii="仿宋" w:hAnsi="仿宋" w:eastAsia="仿宋" w:cs="仿宋"/>
                <w:color w:val="auto"/>
                <w:szCs w:val="24"/>
                <w:highlight w:val="none"/>
                <w:lang w:val="en-US" w:eastAsia="zh-CN"/>
              </w:rPr>
              <w:t>、②</w:t>
            </w:r>
            <w:r>
              <w:rPr>
                <w:rFonts w:hint="eastAsia" w:ascii="仿宋" w:hAnsi="仿宋" w:eastAsia="仿宋" w:cs="仿宋"/>
                <w:spacing w:val="2"/>
                <w:highlight w:val="none"/>
              </w:rPr>
              <w:t>合理的工作计划和时间安排</w:t>
            </w:r>
            <w:r>
              <w:rPr>
                <w:rFonts w:hint="eastAsia" w:ascii="仿宋" w:hAnsi="仿宋" w:eastAsia="仿宋" w:cs="仿宋"/>
                <w:color w:val="auto"/>
                <w:szCs w:val="24"/>
                <w:highlight w:val="none"/>
                <w:lang w:val="en-US" w:eastAsia="zh-CN"/>
              </w:rPr>
              <w:t>、③</w:t>
            </w:r>
            <w:r>
              <w:rPr>
                <w:rFonts w:hint="eastAsia" w:ascii="仿宋" w:hAnsi="仿宋" w:eastAsia="仿宋" w:cs="仿宋"/>
                <w:spacing w:val="2"/>
                <w:highlight w:val="none"/>
              </w:rPr>
              <w:t>政策判断、经济预测</w:t>
            </w:r>
            <w:r>
              <w:rPr>
                <w:rFonts w:hint="eastAsia" w:ascii="仿宋" w:hAnsi="仿宋" w:eastAsia="仿宋" w:cs="仿宋"/>
                <w:color w:val="auto"/>
                <w:szCs w:val="24"/>
                <w:highlight w:val="none"/>
                <w:lang w:val="en-US" w:eastAsia="zh-CN"/>
              </w:rPr>
              <w:t>、④</w:t>
            </w:r>
            <w:r>
              <w:rPr>
                <w:rFonts w:hint="eastAsia" w:ascii="仿宋" w:hAnsi="仿宋" w:eastAsia="仿宋" w:cs="仿宋"/>
                <w:spacing w:val="2"/>
                <w:highlight w:val="none"/>
              </w:rPr>
              <w:t>发行窗口把握能力</w:t>
            </w:r>
            <w:r>
              <w:rPr>
                <w:rFonts w:hint="eastAsia" w:ascii="仿宋" w:hAnsi="仿宋" w:eastAsia="仿宋" w:cs="仿宋"/>
                <w:color w:val="auto"/>
                <w:szCs w:val="24"/>
                <w:highlight w:val="none"/>
                <w:lang w:val="en-US" w:eastAsia="zh-CN"/>
              </w:rPr>
              <w:t>等内容；全部满足上述要求得2分，缺1项扣0.5分，在全部满足上述要求基础上，继续按以下标准评审：</w:t>
            </w:r>
          </w:p>
          <w:p w14:paraId="7E075A57">
            <w:pPr>
              <w:widowControl w:val="0"/>
              <w:numPr>
                <w:ilvl w:val="0"/>
                <w:numId w:val="7"/>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与采购项目需求吻合、内容阐述全面完整、表述清晰详细得8分。</w:t>
            </w:r>
          </w:p>
          <w:p w14:paraId="31DF53E3">
            <w:pPr>
              <w:widowControl w:val="0"/>
              <w:numPr>
                <w:ilvl w:val="0"/>
                <w:numId w:val="0"/>
              </w:numPr>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（2）与采购项目需求吻合、内容阐述较好、可操作性较好的得6分。</w:t>
            </w:r>
          </w:p>
          <w:p w14:paraId="57D57AD1">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（3）与采购项目需求吻合、内容阐述一般、可操作性一般的得3分。</w:t>
            </w:r>
          </w:p>
          <w:p w14:paraId="2FBC4665">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(4）与采购项目需求吻合、内容阐述不完整、简单得1分。</w:t>
            </w:r>
          </w:p>
          <w:p w14:paraId="5DFA0D0E">
            <w:pPr>
              <w:widowControl w:val="0"/>
              <w:jc w:val="both"/>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（5）与采购项目需求出现偏差或错误不得分。</w:t>
            </w:r>
          </w:p>
          <w:p w14:paraId="39B4130F">
            <w:pPr>
              <w:widowControl w:val="0"/>
              <w:jc w:val="both"/>
              <w:rPr>
                <w:rFonts w:hint="eastAsia" w:ascii="仿宋" w:hAnsi="仿宋" w:eastAsia="仿宋" w:cs="仿宋"/>
                <w:color w:val="auto"/>
                <w:szCs w:val="24"/>
                <w:highlight w:val="none"/>
              </w:rPr>
            </w:pPr>
            <w:r>
              <w:rPr>
                <w:rFonts w:hint="eastAsia" w:ascii="仿宋" w:hAnsi="仿宋" w:eastAsia="仿宋" w:cs="仿宋"/>
                <w:b/>
                <w:bCs/>
                <w:color w:val="auto"/>
                <w:szCs w:val="24"/>
                <w:highlight w:val="none"/>
                <w:lang w:val="en-US" w:eastAsia="zh-CN"/>
              </w:rPr>
              <w:t>评审依据：根据实施方案进行打分。</w:t>
            </w:r>
          </w:p>
        </w:tc>
        <w:tc>
          <w:tcPr>
            <w:tcW w:w="930" w:type="dxa"/>
            <w:tcBorders>
              <w:top w:val="single" w:color="auto" w:sz="4" w:space="0"/>
              <w:left w:val="single" w:color="auto" w:sz="4" w:space="0"/>
              <w:bottom w:val="single" w:color="auto" w:sz="4" w:space="0"/>
              <w:right w:val="single" w:color="auto" w:sz="4" w:space="0"/>
            </w:tcBorders>
            <w:noWrap/>
            <w:vAlign w:val="center"/>
          </w:tcPr>
          <w:p w14:paraId="35D640D2">
            <w:pPr>
              <w:widowControl w:val="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10分</w:t>
            </w:r>
          </w:p>
        </w:tc>
      </w:tr>
      <w:tr w14:paraId="2DF1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578" w:type="dxa"/>
            <w:gridSpan w:val="3"/>
            <w:tcBorders>
              <w:top w:val="single" w:color="auto" w:sz="4" w:space="0"/>
              <w:left w:val="single" w:color="auto" w:sz="4" w:space="0"/>
              <w:bottom w:val="single" w:color="auto" w:sz="4" w:space="0"/>
              <w:right w:val="single" w:color="auto" w:sz="4" w:space="0"/>
            </w:tcBorders>
            <w:noWrap/>
            <w:vAlign w:val="center"/>
          </w:tcPr>
          <w:p w14:paraId="739E37AC">
            <w:pPr>
              <w:widowControl w:val="0"/>
              <w:jc w:val="center"/>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w:t>
            </w:r>
            <w:r>
              <w:rPr>
                <w:rFonts w:hint="eastAsia" w:ascii="仿宋" w:hAnsi="仿宋" w:eastAsia="仿宋" w:cs="仿宋"/>
                <w:b/>
                <w:bCs/>
                <w:color w:val="auto"/>
                <w:szCs w:val="24"/>
                <w:highlight w:val="none"/>
                <w:lang w:val="en-US" w:eastAsia="zh-CN"/>
              </w:rPr>
              <w:t>三</w:t>
            </w:r>
            <w:r>
              <w:rPr>
                <w:rFonts w:hint="eastAsia" w:ascii="仿宋" w:hAnsi="仿宋" w:eastAsia="仿宋" w:cs="仿宋"/>
                <w:b/>
                <w:bCs/>
                <w:color w:val="auto"/>
                <w:szCs w:val="24"/>
                <w:highlight w:val="none"/>
              </w:rPr>
              <w:t>）商务部分（</w:t>
            </w:r>
            <w:r>
              <w:rPr>
                <w:rFonts w:hint="eastAsia" w:ascii="仿宋" w:hAnsi="仿宋" w:cs="仿宋"/>
                <w:b/>
                <w:bCs/>
                <w:color w:val="auto"/>
                <w:szCs w:val="24"/>
                <w:highlight w:val="none"/>
                <w:lang w:val="en-US" w:eastAsia="zh-CN"/>
              </w:rPr>
              <w:t>3</w:t>
            </w:r>
            <w:r>
              <w:rPr>
                <w:rFonts w:hint="eastAsia" w:ascii="仿宋" w:hAnsi="仿宋" w:eastAsia="仿宋" w:cs="仿宋"/>
                <w:b/>
                <w:bCs/>
                <w:color w:val="auto"/>
                <w:szCs w:val="24"/>
                <w:highlight w:val="none"/>
                <w:lang w:val="en-US" w:eastAsia="zh-CN"/>
              </w:rPr>
              <w:t>0</w:t>
            </w:r>
            <w:r>
              <w:rPr>
                <w:rFonts w:hint="eastAsia" w:ascii="仿宋" w:hAnsi="仿宋" w:eastAsia="仿宋" w:cs="仿宋"/>
                <w:b/>
                <w:bCs/>
                <w:color w:val="auto"/>
                <w:szCs w:val="24"/>
                <w:highlight w:val="none"/>
              </w:rPr>
              <w:t>分）</w:t>
            </w:r>
          </w:p>
        </w:tc>
      </w:tr>
      <w:tr w14:paraId="5F82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44CDD6ED">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评分点</w:t>
            </w:r>
          </w:p>
        </w:tc>
        <w:tc>
          <w:tcPr>
            <w:tcW w:w="7310" w:type="dxa"/>
            <w:tcBorders>
              <w:top w:val="single" w:color="auto" w:sz="4" w:space="0"/>
              <w:left w:val="single" w:color="auto" w:sz="4" w:space="0"/>
              <w:bottom w:val="single" w:color="auto" w:sz="4" w:space="0"/>
              <w:right w:val="single" w:color="auto" w:sz="4" w:space="0"/>
            </w:tcBorders>
            <w:noWrap/>
            <w:vAlign w:val="center"/>
          </w:tcPr>
          <w:p w14:paraId="68B80904">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ign w:val="center"/>
          </w:tcPr>
          <w:p w14:paraId="2BD15921">
            <w:pPr>
              <w:widowControl w:val="0"/>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分值</w:t>
            </w:r>
          </w:p>
        </w:tc>
      </w:tr>
      <w:tr w14:paraId="4A2C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52002054">
            <w:pPr>
              <w:rPr>
                <w:highlight w:val="none"/>
              </w:rPr>
            </w:pPr>
          </w:p>
        </w:tc>
        <w:tc>
          <w:tcPr>
            <w:tcW w:w="7310" w:type="dxa"/>
            <w:tcBorders>
              <w:top w:val="single" w:color="auto" w:sz="4" w:space="0"/>
              <w:left w:val="single" w:color="auto" w:sz="4" w:space="0"/>
              <w:bottom w:val="single" w:color="auto" w:sz="4" w:space="0"/>
              <w:right w:val="single" w:color="auto" w:sz="4" w:space="0"/>
            </w:tcBorders>
            <w:noWrap/>
            <w:vAlign w:val="center"/>
          </w:tcPr>
          <w:p w14:paraId="37E69561">
            <w:pPr>
              <w:rPr>
                <w:highlight w:val="none"/>
              </w:rPr>
            </w:pPr>
          </w:p>
        </w:tc>
        <w:tc>
          <w:tcPr>
            <w:tcW w:w="930" w:type="dxa"/>
            <w:tcBorders>
              <w:top w:val="single" w:color="auto" w:sz="4" w:space="0"/>
              <w:left w:val="single" w:color="auto" w:sz="4" w:space="0"/>
              <w:bottom w:val="single" w:color="auto" w:sz="4" w:space="0"/>
              <w:right w:val="single" w:color="auto" w:sz="4" w:space="0"/>
            </w:tcBorders>
            <w:noWrap/>
            <w:vAlign w:val="center"/>
          </w:tcPr>
          <w:p w14:paraId="4BA61F86">
            <w:pPr>
              <w:rPr>
                <w:highlight w:val="none"/>
              </w:rPr>
            </w:pPr>
          </w:p>
        </w:tc>
      </w:tr>
      <w:tr w14:paraId="0700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04688F0F">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自律情况（</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2B49A3B">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银行在</w:t>
            </w:r>
            <w:r>
              <w:rPr>
                <w:rFonts w:hint="eastAsia" w:ascii="宋体" w:hAnsi="宋体"/>
                <w:color w:val="000000"/>
                <w:highlight w:val="none"/>
                <w:lang w:val="en-US" w:eastAsia="zh-CN"/>
              </w:rPr>
              <w:t>2023年7月1日-2026年6月30日</w:t>
            </w:r>
            <w:r>
              <w:rPr>
                <w:rFonts w:hint="eastAsia" w:ascii="仿宋" w:hAnsi="仿宋" w:eastAsia="仿宋" w:cs="仿宋"/>
                <w:color w:val="auto"/>
                <w:szCs w:val="24"/>
                <w:highlight w:val="none"/>
                <w:lang w:val="en-US" w:eastAsia="zh-CN"/>
              </w:rPr>
              <w:t>未受到中国银行间交易商协会自律处分得</w:t>
            </w: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分，否则不得分。</w:t>
            </w:r>
          </w:p>
          <w:p w14:paraId="6B57F93D">
            <w:pPr>
              <w:spacing w:line="550" w:lineRule="exact"/>
              <w:rPr>
                <w:rFonts w:hint="eastAsia" w:ascii="仿宋" w:hAnsi="仿宋" w:eastAsia="仿宋" w:cs="仿宋"/>
                <w:color w:val="auto"/>
                <w:szCs w:val="24"/>
                <w:highlight w:val="none"/>
                <w:lang w:val="en-US" w:eastAsia="zh-CN"/>
              </w:rPr>
            </w:pPr>
            <w:r>
              <w:rPr>
                <w:rFonts w:hint="eastAsia" w:ascii="仿宋" w:hAnsi="仿宋" w:eastAsia="仿宋" w:cs="仿宋"/>
                <w:b/>
                <w:bCs/>
                <w:color w:val="auto"/>
                <w:szCs w:val="24"/>
                <w:highlight w:val="none"/>
                <w:lang w:val="en-US" w:eastAsia="zh-CN"/>
              </w:rPr>
              <w:t>评审依据：在征集文件中提供中国银行间交易商协会官网的自律处分查询截图。</w:t>
            </w:r>
          </w:p>
        </w:tc>
        <w:tc>
          <w:tcPr>
            <w:tcW w:w="930" w:type="dxa"/>
            <w:tcBorders>
              <w:top w:val="single" w:color="auto" w:sz="4" w:space="0"/>
              <w:left w:val="single" w:color="auto" w:sz="4" w:space="0"/>
              <w:bottom w:val="single" w:color="auto" w:sz="4" w:space="0"/>
              <w:right w:val="single" w:color="auto" w:sz="4" w:space="0"/>
            </w:tcBorders>
            <w:noWrap/>
            <w:vAlign w:val="center"/>
          </w:tcPr>
          <w:p w14:paraId="23A22164">
            <w:pPr>
              <w:spacing w:line="550" w:lineRule="exact"/>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r>
              <w:rPr>
                <w:rFonts w:hint="eastAsia" w:ascii="仿宋" w:hAnsi="仿宋" w:eastAsia="仿宋" w:cs="仿宋"/>
                <w:color w:val="auto"/>
                <w:szCs w:val="24"/>
                <w:highlight w:val="none"/>
                <w:lang w:val="en-US" w:eastAsia="zh-CN"/>
              </w:rPr>
              <w:t>分</w:t>
            </w:r>
          </w:p>
        </w:tc>
      </w:tr>
      <w:tr w14:paraId="0D95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jc w:val="center"/>
        </w:trPr>
        <w:tc>
          <w:tcPr>
            <w:tcW w:w="1338" w:type="dxa"/>
            <w:vMerge w:val="restart"/>
            <w:tcBorders>
              <w:top w:val="single" w:color="auto" w:sz="4" w:space="0"/>
              <w:left w:val="single" w:color="auto" w:sz="4" w:space="0"/>
              <w:right w:val="single" w:color="auto" w:sz="4" w:space="0"/>
            </w:tcBorders>
            <w:noWrap/>
            <w:vAlign w:val="center"/>
          </w:tcPr>
          <w:p w14:paraId="0E50E5DD">
            <w:pPr>
              <w:pStyle w:val="45"/>
              <w:spacing w:line="380" w:lineRule="exact"/>
              <w:jc w:val="both"/>
              <w:rPr>
                <w:rFonts w:hint="eastAsia" w:ascii="仿宋" w:hAnsi="仿宋" w:eastAsia="仿宋" w:cs="仿宋"/>
                <w:color w:val="auto"/>
                <w:szCs w:val="24"/>
                <w:highlight w:val="none"/>
                <w:lang w:val="en-US" w:eastAsia="zh-CN"/>
              </w:rPr>
            </w:pPr>
            <w:r>
              <w:rPr>
                <w:rFonts w:hint="eastAsia" w:ascii="仿宋" w:hAnsi="仿宋" w:eastAsia="仿宋" w:cs="仿宋"/>
                <w:color w:val="000000"/>
                <w:szCs w:val="22"/>
                <w:highlight w:val="none"/>
                <w:lang w:val="en-US" w:eastAsia="zh-CN"/>
              </w:rPr>
              <w:t>服务能力</w:t>
            </w:r>
            <w:r>
              <w:rPr>
                <w:rFonts w:hint="eastAsia" w:ascii="仿宋" w:hAnsi="仿宋" w:eastAsia="仿宋" w:cs="仿宋"/>
                <w:color w:val="000000"/>
                <w:szCs w:val="22"/>
                <w:highlight w:val="none"/>
              </w:rPr>
              <w:t>（1</w:t>
            </w:r>
            <w:r>
              <w:rPr>
                <w:rFonts w:hint="eastAsia" w:ascii="仿宋" w:hAnsi="仿宋" w:eastAsia="仿宋" w:cs="仿宋"/>
                <w:color w:val="000000"/>
                <w:szCs w:val="22"/>
                <w:highlight w:val="none"/>
                <w:lang w:val="en-US" w:eastAsia="zh-CN"/>
              </w:rPr>
              <w:t>2</w:t>
            </w:r>
            <w:r>
              <w:rPr>
                <w:rFonts w:hint="eastAsia" w:ascii="仿宋" w:hAnsi="仿宋" w:eastAsia="仿宋" w:cs="仿宋"/>
                <w:color w:val="000000"/>
                <w:szCs w:val="22"/>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218C6382">
            <w:pPr>
              <w:pStyle w:val="45"/>
              <w:spacing w:line="380" w:lineRule="exact"/>
              <w:jc w:val="both"/>
              <w:rPr>
                <w:rFonts w:hint="eastAsia" w:ascii="仿宋" w:hAnsi="仿宋" w:eastAsia="仿宋" w:cs="仿宋"/>
                <w:bCs w:val="0"/>
                <w:color w:val="auto"/>
                <w:highlight w:val="none"/>
              </w:rPr>
            </w:pPr>
            <w:r>
              <w:rPr>
                <w:rFonts w:hint="eastAsia" w:ascii="仿宋" w:hAnsi="仿宋" w:eastAsia="仿宋" w:cs="仿宋"/>
                <w:bCs w:val="0"/>
                <w:color w:val="auto"/>
                <w:highlight w:val="none"/>
              </w:rPr>
              <w:t>2023年7月1日-2026年6月30日与城控集团（含子公司）合作总量，包括放贷、买债（表内资金）和承做债券量（如有联席，按实际承做量为准），合作总量规模大于0</w:t>
            </w:r>
            <w:r>
              <w:rPr>
                <w:rFonts w:hint="eastAsia" w:ascii="仿宋" w:hAnsi="仿宋" w:eastAsia="仿宋" w:cs="仿宋"/>
                <w:bCs w:val="0"/>
                <w:color w:val="auto"/>
                <w:highlight w:val="none"/>
                <w:lang w:val="en-US" w:eastAsia="zh-CN"/>
              </w:rPr>
              <w:t>元</w:t>
            </w:r>
            <w:r>
              <w:rPr>
                <w:rFonts w:hint="eastAsia" w:ascii="仿宋" w:hAnsi="仿宋" w:eastAsia="仿宋" w:cs="仿宋"/>
                <w:bCs w:val="0"/>
                <w:color w:val="auto"/>
                <w:highlight w:val="none"/>
              </w:rPr>
              <w:t>可得1分，每增加1亿加一分，最高10分。</w:t>
            </w:r>
          </w:p>
          <w:p w14:paraId="736CD279">
            <w:pPr>
              <w:pStyle w:val="45"/>
              <w:spacing w:line="380" w:lineRule="exact"/>
              <w:jc w:val="both"/>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highlight w:val="none"/>
              </w:rPr>
              <w:t>评审依据：提供证明文件并加盖公章。（若此项指标与母公司合并统计的，请提供其母公司信息）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32E2C809">
            <w:pPr>
              <w:spacing w:line="550" w:lineRule="exact"/>
              <w:rPr>
                <w:rFonts w:hint="default" w:ascii="仿宋" w:hAnsi="仿宋" w:cs="仿宋"/>
                <w:color w:val="auto"/>
                <w:szCs w:val="24"/>
                <w:highlight w:val="none"/>
                <w:lang w:val="en-US" w:eastAsia="zh-CN"/>
              </w:rPr>
            </w:pPr>
            <w:r>
              <w:rPr>
                <w:rFonts w:hint="eastAsia" w:ascii="仿宋" w:hAnsi="仿宋" w:cs="仿宋"/>
                <w:color w:val="auto"/>
                <w:szCs w:val="24"/>
                <w:highlight w:val="none"/>
                <w:lang w:val="en-US" w:eastAsia="zh-CN"/>
              </w:rPr>
              <w:t>10分</w:t>
            </w:r>
          </w:p>
        </w:tc>
      </w:tr>
      <w:tr w14:paraId="5BF9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338" w:type="dxa"/>
            <w:vMerge w:val="continue"/>
            <w:tcBorders>
              <w:left w:val="single" w:color="auto" w:sz="4" w:space="0"/>
              <w:bottom w:val="single" w:color="auto" w:sz="4" w:space="0"/>
              <w:right w:val="single" w:color="auto" w:sz="4" w:space="0"/>
            </w:tcBorders>
            <w:noWrap/>
            <w:vAlign w:val="center"/>
          </w:tcPr>
          <w:p w14:paraId="04D0E4B3">
            <w:pPr>
              <w:pStyle w:val="45"/>
              <w:spacing w:line="380" w:lineRule="exact"/>
              <w:jc w:val="both"/>
              <w:rPr>
                <w:rFonts w:hint="eastAsia" w:ascii="仿宋" w:hAnsi="仿宋" w:eastAsia="仿宋" w:cs="仿宋"/>
                <w:color w:val="000000"/>
                <w:szCs w:val="22"/>
                <w:highlight w:val="none"/>
                <w:lang w:val="en-US" w:eastAsia="zh-CN"/>
              </w:rPr>
            </w:pPr>
          </w:p>
        </w:tc>
        <w:tc>
          <w:tcPr>
            <w:tcW w:w="7310" w:type="dxa"/>
            <w:tcBorders>
              <w:top w:val="single" w:color="auto" w:sz="4" w:space="0"/>
              <w:left w:val="single" w:color="auto" w:sz="4" w:space="0"/>
              <w:bottom w:val="single" w:color="auto" w:sz="4" w:space="0"/>
              <w:right w:val="single" w:color="auto" w:sz="4" w:space="0"/>
            </w:tcBorders>
            <w:noWrap/>
            <w:vAlign w:val="center"/>
          </w:tcPr>
          <w:p w14:paraId="2F5AE016">
            <w:pPr>
              <w:pStyle w:val="45"/>
              <w:spacing w:line="380" w:lineRule="exact"/>
              <w:jc w:val="both"/>
              <w:rPr>
                <w:rFonts w:hint="eastAsia" w:ascii="仿宋" w:hAnsi="仿宋" w:eastAsia="仿宋" w:cs="仿宋"/>
                <w:bCs w:val="0"/>
                <w:color w:val="auto"/>
                <w:highlight w:val="none"/>
              </w:rPr>
            </w:pPr>
            <w:r>
              <w:rPr>
                <w:rFonts w:hint="eastAsia" w:ascii="仿宋" w:hAnsi="仿宋" w:eastAsia="仿宋" w:cs="仿宋"/>
                <w:bCs w:val="0"/>
                <w:color w:val="auto"/>
                <w:highlight w:val="none"/>
              </w:rPr>
              <w:t>截止到投标日，在吉安有分支结构的得</w:t>
            </w:r>
            <w:r>
              <w:rPr>
                <w:rFonts w:hint="eastAsia" w:ascii="仿宋" w:hAnsi="仿宋" w:eastAsia="仿宋" w:cs="仿宋"/>
                <w:bCs w:val="0"/>
                <w:color w:val="auto"/>
                <w:highlight w:val="none"/>
                <w:lang w:val="en-US" w:eastAsia="zh-CN"/>
              </w:rPr>
              <w:t>2</w:t>
            </w:r>
            <w:r>
              <w:rPr>
                <w:rFonts w:hint="eastAsia" w:ascii="仿宋" w:hAnsi="仿宋" w:eastAsia="仿宋" w:cs="仿宋"/>
                <w:bCs w:val="0"/>
                <w:color w:val="auto"/>
                <w:highlight w:val="none"/>
              </w:rPr>
              <w:t>分，没有的得0分。</w:t>
            </w:r>
          </w:p>
          <w:p w14:paraId="68001E59">
            <w:pPr>
              <w:pStyle w:val="45"/>
              <w:spacing w:line="380" w:lineRule="exact"/>
              <w:jc w:val="both"/>
              <w:rPr>
                <w:rFonts w:hint="eastAsia" w:ascii="宋体" w:hAnsi="宋体"/>
                <w:b/>
                <w:color w:val="auto"/>
                <w:highlight w:val="none"/>
              </w:rPr>
            </w:pPr>
            <w:r>
              <w:rPr>
                <w:rFonts w:hint="eastAsia" w:ascii="仿宋" w:hAnsi="仿宋" w:eastAsia="仿宋" w:cs="仿宋"/>
                <w:b/>
                <w:bCs/>
                <w:color w:val="auto"/>
                <w:szCs w:val="24"/>
                <w:highlight w:val="none"/>
              </w:rPr>
              <w:t>评审依据：提供证明文件并加盖公章。</w:t>
            </w:r>
          </w:p>
        </w:tc>
        <w:tc>
          <w:tcPr>
            <w:tcW w:w="930" w:type="dxa"/>
            <w:tcBorders>
              <w:top w:val="single" w:color="auto" w:sz="4" w:space="0"/>
              <w:left w:val="single" w:color="auto" w:sz="4" w:space="0"/>
              <w:bottom w:val="single" w:color="auto" w:sz="4" w:space="0"/>
              <w:right w:val="single" w:color="auto" w:sz="4" w:space="0"/>
            </w:tcBorders>
            <w:noWrap/>
            <w:vAlign w:val="center"/>
          </w:tcPr>
          <w:p w14:paraId="7CF93EB8">
            <w:pPr>
              <w:spacing w:line="550" w:lineRule="exact"/>
              <w:rPr>
                <w:rFonts w:hint="eastAsia" w:ascii="仿宋" w:hAnsi="仿宋" w:cs="仿宋"/>
                <w:color w:val="auto"/>
                <w:szCs w:val="24"/>
                <w:highlight w:val="none"/>
                <w:lang w:val="en-US" w:eastAsia="zh-CN"/>
              </w:rPr>
            </w:pPr>
            <w:r>
              <w:rPr>
                <w:rFonts w:hint="eastAsia" w:ascii="仿宋" w:hAnsi="仿宋" w:cs="仿宋"/>
                <w:color w:val="auto"/>
                <w:szCs w:val="24"/>
                <w:highlight w:val="none"/>
                <w:lang w:val="en-US" w:eastAsia="zh-CN"/>
              </w:rPr>
              <w:t>2</w:t>
            </w:r>
            <w:r>
              <w:rPr>
                <w:rFonts w:hint="eastAsia" w:ascii="仿宋" w:hAnsi="仿宋" w:eastAsia="仿宋" w:cs="仿宋"/>
                <w:color w:val="auto"/>
                <w:szCs w:val="24"/>
                <w:highlight w:val="none"/>
                <w:lang w:val="en-US" w:eastAsia="zh-CN"/>
              </w:rPr>
              <w:t>分</w:t>
            </w:r>
          </w:p>
        </w:tc>
      </w:tr>
      <w:tr w14:paraId="1ADB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43D5911">
            <w:pPr>
              <w:spacing w:line="550" w:lineRule="exact"/>
              <w:rPr>
                <w:rFonts w:hint="eastAsia" w:ascii="仿宋" w:hAnsi="仿宋" w:eastAsia="仿宋" w:cs="仿宋"/>
                <w:color w:val="auto"/>
                <w:szCs w:val="24"/>
                <w:highlight w:val="none"/>
                <w:lang w:val="en-US" w:eastAsia="zh-CN"/>
              </w:rPr>
            </w:pPr>
            <w:r>
              <w:rPr>
                <w:rFonts w:hint="eastAsia" w:ascii="宋体" w:hAnsi="宋体"/>
                <w:color w:val="000000"/>
                <w:highlight w:val="none"/>
                <w:lang w:val="en-US" w:eastAsia="zh-CN"/>
              </w:rPr>
              <w:t>江西省信用债承销规模</w:t>
            </w:r>
            <w:r>
              <w:rPr>
                <w:rFonts w:hint="eastAsia" w:ascii="宋体" w:hAnsi="宋体"/>
                <w:color w:val="000000"/>
                <w:highlight w:val="none"/>
              </w:rPr>
              <w:t>（</w:t>
            </w:r>
            <w:r>
              <w:rPr>
                <w:rFonts w:hint="eastAsia" w:ascii="宋体" w:hAnsi="宋体"/>
                <w:color w:val="000000"/>
                <w:highlight w:val="none"/>
                <w:lang w:val="en-US" w:eastAsia="zh-CN"/>
              </w:rPr>
              <w:t>5</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038282A4">
            <w:pPr>
              <w:spacing w:line="550" w:lineRule="exact"/>
              <w:rPr>
                <w:rFonts w:hint="eastAsia" w:ascii="仿宋" w:hAnsi="仿宋" w:eastAsia="仿宋" w:cs="仿宋"/>
                <w:color w:val="auto"/>
                <w:highlight w:val="none"/>
                <w:shd w:val="clear"/>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江西省信用债券承销规模，以WIND“债券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仿宋" w:hAnsi="仿宋" w:cs="仿宋"/>
                <w:color w:val="auto"/>
                <w:highlight w:val="none"/>
                <w:shd w:val="clear"/>
              </w:rPr>
              <w:t>：</w:t>
            </w:r>
            <w:r>
              <w:rPr>
                <w:rFonts w:hint="eastAsia" w:ascii="仿宋" w:hAnsi="仿宋" w:eastAsia="仿宋" w:cs="仿宋"/>
                <w:color w:val="auto"/>
                <w:szCs w:val="24"/>
                <w:highlight w:val="none"/>
                <w:lang w:val="en-US" w:eastAsia="zh-CN"/>
              </w:rPr>
              <w:t>承销规模</w:t>
            </w:r>
            <w:r>
              <w:rPr>
                <w:rFonts w:hint="eastAsia" w:ascii="仿宋" w:hAnsi="仿宋" w:cs="仿宋"/>
                <w:color w:val="auto"/>
                <w:szCs w:val="24"/>
                <w:highlight w:val="none"/>
                <w:lang w:val="en-US" w:eastAsia="zh-CN"/>
              </w:rPr>
              <w:t>为1亿以上（含本数）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40</w:t>
            </w:r>
            <w:r>
              <w:rPr>
                <w:rFonts w:hint="eastAsia" w:ascii="仿宋" w:hAnsi="仿宋" w:eastAsia="仿宋" w:cs="仿宋"/>
                <w:color w:val="auto"/>
                <w:szCs w:val="24"/>
                <w:highlight w:val="none"/>
                <w:lang w:val="en-US" w:eastAsia="zh-CN"/>
              </w:rPr>
              <w:t>亿加1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7A28C7E0">
            <w:pPr>
              <w:spacing w:line="400" w:lineRule="exact"/>
              <w:jc w:val="left"/>
              <w:rPr>
                <w:rFonts w:hint="eastAsia" w:ascii="仿宋" w:hAnsi="仿宋" w:eastAsia="仿宋" w:cs="仿宋"/>
                <w:color w:val="auto"/>
                <w:szCs w:val="24"/>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r>
              <w:rPr>
                <w:rFonts w:hint="eastAsia" w:ascii="宋体" w:hAnsi="宋体"/>
                <w:color w:val="000000"/>
                <w:highlight w:val="none"/>
              </w:rPr>
              <w:t>。</w:t>
            </w:r>
          </w:p>
        </w:tc>
        <w:tc>
          <w:tcPr>
            <w:tcW w:w="930" w:type="dxa"/>
            <w:tcBorders>
              <w:top w:val="single" w:color="auto" w:sz="4" w:space="0"/>
              <w:left w:val="single" w:color="auto" w:sz="4" w:space="0"/>
              <w:bottom w:val="single" w:color="auto" w:sz="4" w:space="0"/>
              <w:right w:val="single" w:color="auto" w:sz="4" w:space="0"/>
            </w:tcBorders>
            <w:noWrap/>
            <w:vAlign w:val="center"/>
          </w:tcPr>
          <w:p w14:paraId="6C6B737B">
            <w:pPr>
              <w:spacing w:line="400" w:lineRule="exact"/>
              <w:jc w:val="center"/>
              <w:rPr>
                <w:rFonts w:hint="eastAsia" w:ascii="仿宋" w:hAnsi="仿宋" w:eastAsia="仿宋" w:cs="仿宋"/>
                <w:color w:val="auto"/>
                <w:szCs w:val="24"/>
                <w:highlight w:val="none"/>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00C2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3E4A3355">
            <w:pPr>
              <w:spacing w:line="550" w:lineRule="exact"/>
              <w:rPr>
                <w:rFonts w:hint="eastAsia" w:ascii="仿宋" w:hAnsi="仿宋" w:eastAsia="仿宋" w:cs="仿宋"/>
                <w:color w:val="auto"/>
                <w:szCs w:val="24"/>
                <w:highlight w:val="none"/>
                <w:lang w:val="en-US" w:eastAsia="zh-CN"/>
              </w:rPr>
            </w:pPr>
            <w:r>
              <w:rPr>
                <w:rFonts w:hint="eastAsia" w:ascii="宋体" w:hAnsi="宋体"/>
                <w:color w:val="000000"/>
                <w:highlight w:val="none"/>
                <w:lang w:val="en-US" w:eastAsia="zh-CN"/>
              </w:rPr>
              <w:t>江西省信用债承销只数</w:t>
            </w:r>
            <w:r>
              <w:rPr>
                <w:rFonts w:hint="eastAsia" w:ascii="宋体" w:hAnsi="宋体"/>
                <w:color w:val="000000"/>
                <w:highlight w:val="none"/>
              </w:rPr>
              <w:t>（</w:t>
            </w:r>
            <w:r>
              <w:rPr>
                <w:rFonts w:hint="eastAsia" w:ascii="宋体" w:hAnsi="宋体"/>
                <w:color w:val="000000"/>
                <w:highlight w:val="none"/>
                <w:lang w:val="en-US" w:eastAsia="zh-CN"/>
              </w:rPr>
              <w:t>5</w:t>
            </w:r>
            <w:r>
              <w:rPr>
                <w:rFonts w:hint="eastAsia" w:ascii="宋体" w:hAnsi="宋体"/>
                <w:color w:val="000000"/>
                <w:highlight w:val="none"/>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753BEE64">
            <w:pPr>
              <w:spacing w:line="550" w:lineRule="exact"/>
              <w:jc w:val="left"/>
              <w:rPr>
                <w:rFonts w:hint="eastAsia" w:ascii="仿宋" w:hAnsi="仿宋" w:eastAsia="仿宋" w:cs="仿宋"/>
                <w:color w:val="auto"/>
                <w:szCs w:val="24"/>
                <w:highlight w:val="none"/>
              </w:rPr>
            </w:pPr>
            <w:r>
              <w:rPr>
                <w:rFonts w:hint="eastAsia" w:ascii="仿宋" w:hAnsi="仿宋" w:cs="仿宋"/>
                <w:color w:val="auto"/>
                <w:highlight w:val="none"/>
                <w:lang w:val="en-US" w:eastAsia="zh-CN"/>
              </w:rPr>
              <w:t>2023年7月1日-2026年6月30日</w:t>
            </w:r>
            <w:r>
              <w:rPr>
                <w:rFonts w:hint="eastAsia" w:ascii="宋体" w:hAnsi="宋体"/>
                <w:color w:val="000000"/>
                <w:highlight w:val="none"/>
              </w:rPr>
              <w:t>江西省信用债券承销只数，以WIND“债券</w:t>
            </w:r>
            <w:r>
              <w:rPr>
                <w:rFonts w:ascii="宋体" w:hAnsi="宋体"/>
                <w:color w:val="000000"/>
                <w:highlight w:val="none"/>
              </w:rPr>
              <w:t>-一级市场-承销</w:t>
            </w:r>
            <w:r>
              <w:rPr>
                <w:rFonts w:hint="eastAsia" w:ascii="宋体" w:hAnsi="宋体"/>
                <w:color w:val="000000"/>
                <w:highlight w:val="none"/>
              </w:rPr>
              <w:t>统计-债券承销分地域排行-债券分类选择“短期融资券、定向工具及中期票据</w:t>
            </w:r>
            <w:r>
              <w:rPr>
                <w:rFonts w:ascii="宋体" w:hAnsi="宋体"/>
                <w:color w:val="000000"/>
                <w:highlight w:val="none"/>
              </w:rPr>
              <w:t>”</w:t>
            </w:r>
            <w:r>
              <w:rPr>
                <w:rFonts w:hint="eastAsia" w:ascii="宋体" w:hAnsi="宋体"/>
                <w:color w:val="000000"/>
                <w:highlight w:val="none"/>
              </w:rPr>
              <w:t>，以联主实际比例数据为准”</w:t>
            </w:r>
            <w:r>
              <w:rPr>
                <w:rFonts w:hint="eastAsia" w:ascii="宋体" w:hAnsi="宋体"/>
                <w:color w:val="000000"/>
                <w:highlight w:val="none"/>
                <w:lang w:eastAsia="zh-CN"/>
              </w:rPr>
              <w:t>：</w:t>
            </w:r>
            <w:r>
              <w:rPr>
                <w:rFonts w:hint="eastAsia" w:ascii="宋体" w:hAnsi="宋体"/>
                <w:color w:val="000000"/>
                <w:highlight w:val="none"/>
                <w:lang w:val="en-US" w:eastAsia="zh-CN"/>
              </w:rPr>
              <w:t>承销只数为1只以上</w:t>
            </w:r>
            <w:r>
              <w:rPr>
                <w:rFonts w:hint="eastAsia" w:ascii="仿宋" w:hAnsi="仿宋" w:cs="仿宋"/>
                <w:color w:val="auto"/>
                <w:szCs w:val="24"/>
                <w:highlight w:val="none"/>
                <w:lang w:val="en-US" w:eastAsia="zh-CN"/>
              </w:rPr>
              <w:t>（含本数）</w:t>
            </w:r>
            <w:r>
              <w:rPr>
                <w:rFonts w:hint="eastAsia" w:ascii="仿宋" w:hAnsi="仿宋" w:eastAsia="仿宋" w:cs="仿宋"/>
                <w:color w:val="auto"/>
                <w:szCs w:val="24"/>
                <w:highlight w:val="none"/>
                <w:lang w:val="en-US" w:eastAsia="zh-CN"/>
              </w:rPr>
              <w:t>的得1分，</w:t>
            </w:r>
            <w:r>
              <w:rPr>
                <w:rFonts w:hint="eastAsia" w:ascii="仿宋" w:hAnsi="仿宋" w:eastAsia="仿宋" w:cs="仿宋"/>
                <w:color w:val="auto"/>
                <w:szCs w:val="24"/>
                <w:highlight w:val="none"/>
              </w:rPr>
              <w:t>每</w:t>
            </w:r>
            <w:r>
              <w:rPr>
                <w:rFonts w:hint="eastAsia" w:ascii="仿宋" w:hAnsi="仿宋" w:eastAsia="仿宋" w:cs="仿宋"/>
                <w:color w:val="auto"/>
                <w:szCs w:val="24"/>
                <w:highlight w:val="none"/>
                <w:lang w:val="en-US" w:eastAsia="zh-CN"/>
              </w:rPr>
              <w:t>增加</w:t>
            </w:r>
            <w:r>
              <w:rPr>
                <w:rFonts w:hint="eastAsia" w:ascii="仿宋" w:hAnsi="仿宋" w:cs="仿宋"/>
                <w:color w:val="auto"/>
                <w:szCs w:val="24"/>
                <w:highlight w:val="none"/>
                <w:lang w:val="en-US" w:eastAsia="zh-CN"/>
              </w:rPr>
              <w:t>10只</w:t>
            </w:r>
            <w:r>
              <w:rPr>
                <w:rFonts w:hint="eastAsia" w:ascii="仿宋" w:hAnsi="仿宋" w:eastAsia="仿宋" w:cs="仿宋"/>
                <w:color w:val="auto"/>
                <w:szCs w:val="24"/>
                <w:highlight w:val="none"/>
                <w:lang w:val="en-US" w:eastAsia="zh-CN"/>
              </w:rPr>
              <w:t>加1</w:t>
            </w:r>
            <w:r>
              <w:rPr>
                <w:rFonts w:hint="eastAsia" w:ascii="仿宋" w:hAnsi="仿宋" w:eastAsia="仿宋" w:cs="仿宋"/>
                <w:color w:val="auto"/>
                <w:szCs w:val="24"/>
                <w:highlight w:val="none"/>
              </w:rPr>
              <w:t>分</w:t>
            </w:r>
            <w:r>
              <w:rPr>
                <w:rFonts w:hint="eastAsia" w:ascii="仿宋" w:hAnsi="仿宋" w:eastAsia="仿宋" w:cs="仿宋"/>
                <w:color w:val="auto"/>
                <w:szCs w:val="24"/>
                <w:highlight w:val="none"/>
                <w:lang w:val="en-US" w:eastAsia="zh-CN"/>
              </w:rPr>
              <w:t>，满分</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r>
              <w:rPr>
                <w:rFonts w:hint="eastAsia" w:ascii="仿宋" w:hAnsi="仿宋" w:eastAsia="仿宋" w:cs="仿宋"/>
                <w:color w:val="auto"/>
                <w:szCs w:val="24"/>
                <w:highlight w:val="none"/>
              </w:rPr>
              <w:t>。</w:t>
            </w:r>
          </w:p>
          <w:p w14:paraId="3DBB4146">
            <w:pPr>
              <w:spacing w:line="400" w:lineRule="exact"/>
              <w:jc w:val="left"/>
              <w:rPr>
                <w:rFonts w:hint="eastAsia" w:ascii="仿宋" w:hAnsi="仿宋" w:eastAsia="仿宋" w:cs="仿宋"/>
                <w:b/>
                <w:bCs/>
                <w:color w:val="auto"/>
                <w:szCs w:val="24"/>
                <w:highlight w:val="none"/>
              </w:rPr>
            </w:pPr>
            <w:r>
              <w:rPr>
                <w:rFonts w:hint="eastAsia" w:ascii="宋体" w:hAnsi="宋体"/>
                <w:b/>
                <w:color w:val="000000"/>
                <w:highlight w:val="none"/>
              </w:rPr>
              <w:t>评审依据：提供承销业绩列表和wind截图并加盖公章（若响应服务商的业绩、规模、排名等指标与母公司合并统计的，请提供其母公司信息）。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3AA7A8AF">
            <w:pPr>
              <w:spacing w:line="400" w:lineRule="exact"/>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rPr>
              <w:t>分</w:t>
            </w:r>
          </w:p>
        </w:tc>
      </w:tr>
      <w:tr w14:paraId="3EFC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38" w:type="dxa"/>
            <w:tcBorders>
              <w:top w:val="single" w:color="auto" w:sz="4" w:space="0"/>
              <w:left w:val="single" w:color="auto" w:sz="4" w:space="0"/>
              <w:bottom w:val="single" w:color="auto" w:sz="4" w:space="0"/>
              <w:right w:val="single" w:color="auto" w:sz="4" w:space="0"/>
            </w:tcBorders>
            <w:noWrap/>
            <w:vAlign w:val="center"/>
          </w:tcPr>
          <w:p w14:paraId="5CC638E9">
            <w:pPr>
              <w:spacing w:line="400" w:lineRule="exact"/>
              <w:jc w:val="center"/>
              <w:rPr>
                <w:rFonts w:hint="eastAsia" w:ascii="仿宋" w:hAnsi="仿宋" w:eastAsia="仿宋" w:cs="仿宋"/>
                <w:color w:val="auto"/>
                <w:szCs w:val="24"/>
                <w:highlight w:val="none"/>
                <w:lang w:val="en-US" w:eastAsia="zh-CN"/>
              </w:rPr>
            </w:pPr>
            <w:r>
              <w:rPr>
                <w:rFonts w:hint="eastAsia" w:ascii="仿宋" w:hAnsi="仿宋" w:eastAsia="仿宋" w:cs="仿宋"/>
                <w:color w:val="000000"/>
                <w:highlight w:val="none"/>
              </w:rPr>
              <w:t>全国信用债券</w:t>
            </w:r>
            <w:r>
              <w:rPr>
                <w:rFonts w:hint="eastAsia" w:ascii="仿宋" w:hAnsi="仿宋" w:cs="仿宋"/>
                <w:color w:val="auto"/>
                <w:szCs w:val="24"/>
                <w:highlight w:val="none"/>
                <w:lang w:val="en-US" w:eastAsia="zh-CN"/>
              </w:rPr>
              <w:t>发行成功率</w:t>
            </w:r>
            <w:r>
              <w:rPr>
                <w:rFonts w:hint="eastAsia" w:ascii="仿宋" w:hAnsi="仿宋" w:eastAsia="仿宋" w:cs="仿宋"/>
                <w:color w:val="auto"/>
                <w:szCs w:val="24"/>
                <w:highlight w:val="none"/>
                <w:lang w:val="en-US" w:eastAsia="zh-CN"/>
              </w:rPr>
              <w:t>（</w:t>
            </w: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c>
          <w:tcPr>
            <w:tcW w:w="7310" w:type="dxa"/>
            <w:tcBorders>
              <w:top w:val="single" w:color="auto" w:sz="4" w:space="0"/>
              <w:left w:val="single" w:color="auto" w:sz="4" w:space="0"/>
              <w:bottom w:val="single" w:color="auto" w:sz="4" w:space="0"/>
              <w:right w:val="single" w:color="auto" w:sz="4" w:space="0"/>
            </w:tcBorders>
            <w:noWrap/>
            <w:vAlign w:val="center"/>
          </w:tcPr>
          <w:p w14:paraId="5E79CAE2">
            <w:pPr>
              <w:pStyle w:val="45"/>
              <w:spacing w:line="380" w:lineRule="exact"/>
              <w:ind w:firstLine="0" w:firstLineChars="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比较各投标人2023年7月1日-2026年6月30日主承销的信用债券承销总只数（以“Wind 数据库-债券-专题统计-一级市场-承销统计-债券承销排名（Wind 口径）为准）占投标人2023年7月1日-2026年6月30日主承销的信用债券承销总只数（以“Wind数据库-债券-专题统计-一级市场-承销统计-债券承销排名（Wind口径）为准）及投标人在2023年7月1日-2026年6月30日内主承销的信用债券取消发行只数（以“Wind数据库-债券-专题统计-一级市场-新券发行-推迟或取消发行债券”-“取消发行”为准）之和的比例：</w:t>
            </w:r>
          </w:p>
          <w:p w14:paraId="550478A2">
            <w:pPr>
              <w:pStyle w:val="45"/>
              <w:spacing w:line="380" w:lineRule="exact"/>
              <w:ind w:firstLine="0" w:firstLineChars="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2023年7月1日-2026年6月30日，投标人主承销的信用债券承销总只数占主承销的信用债券承销总只数及主承销的信用债券取消发行只数之和的比例不低于98%的，得5分；低于98%且不低于95%的，得4分；低于95%且不低于90%的，得3分；低于90%的不得分。</w:t>
            </w:r>
          </w:p>
          <w:p w14:paraId="0637218C">
            <w:pPr>
              <w:spacing w:line="400" w:lineRule="exact"/>
              <w:jc w:val="left"/>
              <w:rPr>
                <w:rFonts w:hint="eastAsia" w:ascii="仿宋" w:hAnsi="仿宋" w:eastAsia="仿宋" w:cs="仿宋"/>
                <w:b/>
                <w:color w:val="000000"/>
                <w:highlight w:val="none"/>
              </w:rPr>
            </w:pPr>
            <w:r>
              <w:rPr>
                <w:rFonts w:hint="eastAsia" w:ascii="宋体" w:hAnsi="宋体" w:eastAsia="仿宋" w:cs="Times New Roman"/>
                <w:b/>
                <w:bCs w:val="0"/>
                <w:snapToGrid/>
                <w:color w:val="000000"/>
                <w:sz w:val="24"/>
                <w:szCs w:val="22"/>
                <w:highlight w:val="none"/>
                <w:lang w:val="en-US" w:eastAsia="zh-CN" w:bidi="ar-SA"/>
              </w:rPr>
              <w:t>评审依据：投标人提供Wind终端查询截图</w:t>
            </w:r>
            <w:r>
              <w:rPr>
                <w:rFonts w:hint="eastAsia" w:ascii="宋体" w:hAnsi="宋体" w:cs="Times New Roman"/>
                <w:b/>
                <w:bCs w:val="0"/>
                <w:snapToGrid/>
                <w:color w:val="000000"/>
                <w:sz w:val="24"/>
                <w:szCs w:val="22"/>
                <w:highlight w:val="none"/>
                <w:lang w:val="en-US" w:eastAsia="zh-CN" w:bidi="ar-SA"/>
              </w:rPr>
              <w:t>及计算过程</w:t>
            </w:r>
            <w:r>
              <w:rPr>
                <w:rFonts w:hint="eastAsia" w:ascii="宋体" w:hAnsi="宋体" w:eastAsia="仿宋" w:cs="Times New Roman"/>
                <w:b/>
                <w:bCs w:val="0"/>
                <w:snapToGrid/>
                <w:color w:val="000000"/>
                <w:sz w:val="24"/>
                <w:szCs w:val="22"/>
                <w:highlight w:val="none"/>
                <w:lang w:val="en-US" w:eastAsia="zh-CN" w:bidi="ar-SA"/>
              </w:rPr>
              <w:t>并加盖公章</w:t>
            </w:r>
            <w:r>
              <w:rPr>
                <w:rFonts w:hint="eastAsia" w:ascii="宋体" w:hAnsi="宋体"/>
                <w:b/>
                <w:color w:val="000000"/>
                <w:highlight w:val="none"/>
              </w:rPr>
              <w:t>（若响应服务商的业绩、规模、排名等指标与母公司合并统计的，请提供其母公司信息）。</w:t>
            </w:r>
          </w:p>
        </w:tc>
        <w:tc>
          <w:tcPr>
            <w:tcW w:w="930" w:type="dxa"/>
            <w:tcBorders>
              <w:top w:val="single" w:color="auto" w:sz="4" w:space="0"/>
              <w:left w:val="single" w:color="auto" w:sz="4" w:space="0"/>
              <w:bottom w:val="single" w:color="auto" w:sz="4" w:space="0"/>
              <w:right w:val="single" w:color="auto" w:sz="4" w:space="0"/>
            </w:tcBorders>
            <w:noWrap/>
            <w:vAlign w:val="center"/>
          </w:tcPr>
          <w:p w14:paraId="099358FB">
            <w:pPr>
              <w:spacing w:line="400" w:lineRule="exact"/>
              <w:jc w:val="center"/>
              <w:rPr>
                <w:rFonts w:hint="eastAsia"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5</w:t>
            </w:r>
            <w:r>
              <w:rPr>
                <w:rFonts w:hint="eastAsia" w:ascii="仿宋" w:hAnsi="仿宋" w:eastAsia="仿宋" w:cs="仿宋"/>
                <w:color w:val="auto"/>
                <w:szCs w:val="24"/>
                <w:highlight w:val="none"/>
                <w:lang w:val="en-US" w:eastAsia="zh-CN"/>
              </w:rPr>
              <w:t>分</w:t>
            </w:r>
          </w:p>
        </w:tc>
      </w:tr>
    </w:tbl>
    <w:p w14:paraId="18497590">
      <w:pPr>
        <w:rPr>
          <w:rFonts w:hint="eastAsia" w:ascii="仿宋" w:hAnsi="仿宋" w:eastAsia="仿宋" w:cs="仿宋"/>
          <w:b/>
          <w:bCs/>
          <w:color w:val="auto"/>
          <w:szCs w:val="24"/>
          <w:highlight w:val="none"/>
        </w:rPr>
      </w:pPr>
    </w:p>
    <w:p w14:paraId="19626F49">
      <w:pPr>
        <w:rPr>
          <w:rFonts w:hint="eastAsia" w:ascii="仿宋" w:hAnsi="仿宋" w:eastAsia="仿宋" w:cs="仿宋"/>
          <w:b/>
          <w:bCs/>
          <w:color w:val="auto"/>
          <w:szCs w:val="24"/>
          <w:highlight w:val="none"/>
        </w:rPr>
      </w:pPr>
    </w:p>
    <w:p w14:paraId="2B608EDA">
      <w:pPr>
        <w:rPr>
          <w:rFonts w:hint="eastAsia" w:ascii="仿宋" w:hAnsi="仿宋" w:eastAsia="仿宋" w:cs="仿宋"/>
          <w:b/>
          <w:bCs/>
          <w:color w:val="auto"/>
          <w:szCs w:val="24"/>
          <w:highlight w:val="none"/>
        </w:rPr>
      </w:pPr>
    </w:p>
    <w:p w14:paraId="350C19FF">
      <w:pPr>
        <w:rPr>
          <w:rFonts w:hint="eastAsia" w:ascii="仿宋" w:hAnsi="仿宋" w:eastAsia="仿宋" w:cs="仿宋"/>
          <w:b/>
          <w:bCs/>
          <w:color w:val="auto"/>
          <w:szCs w:val="24"/>
          <w:highlight w:val="none"/>
        </w:rPr>
      </w:pPr>
    </w:p>
    <w:p w14:paraId="55626AAA">
      <w:pPr>
        <w:rPr>
          <w:rFonts w:hint="eastAsia" w:ascii="仿宋" w:hAnsi="仿宋" w:eastAsia="仿宋" w:cs="仿宋"/>
          <w:b/>
          <w:bCs/>
          <w:color w:val="auto"/>
          <w:szCs w:val="24"/>
          <w:highlight w:val="none"/>
        </w:rPr>
      </w:pPr>
    </w:p>
    <w:p w14:paraId="630770DC">
      <w:pPr>
        <w:rPr>
          <w:rFonts w:hint="eastAsia" w:ascii="仿宋" w:hAnsi="仿宋" w:eastAsia="仿宋" w:cs="仿宋"/>
          <w:b/>
          <w:bCs/>
          <w:color w:val="auto"/>
          <w:szCs w:val="24"/>
          <w:highlight w:val="none"/>
        </w:rPr>
      </w:pPr>
    </w:p>
    <w:p w14:paraId="711EEC39">
      <w:pPr>
        <w:rPr>
          <w:rFonts w:hint="eastAsia" w:ascii="仿宋" w:hAnsi="仿宋" w:eastAsia="仿宋" w:cs="仿宋"/>
          <w:b/>
          <w:bCs/>
          <w:color w:val="auto"/>
          <w:szCs w:val="24"/>
          <w:highlight w:val="none"/>
        </w:rPr>
      </w:pPr>
    </w:p>
    <w:p w14:paraId="2813301A">
      <w:pPr>
        <w:rPr>
          <w:rFonts w:hint="eastAsia" w:ascii="仿宋" w:hAnsi="仿宋" w:eastAsia="仿宋" w:cs="仿宋"/>
          <w:b/>
          <w:bCs/>
          <w:color w:val="auto"/>
          <w:szCs w:val="24"/>
          <w:highlight w:val="none"/>
        </w:rPr>
      </w:pPr>
    </w:p>
    <w:p w14:paraId="00CFF007">
      <w:pPr>
        <w:rPr>
          <w:rFonts w:hint="eastAsia" w:ascii="仿宋" w:hAnsi="仿宋" w:eastAsia="仿宋" w:cs="仿宋"/>
          <w:b/>
          <w:bCs/>
          <w:color w:val="auto"/>
          <w:szCs w:val="24"/>
          <w:highlight w:val="none"/>
        </w:rPr>
      </w:pPr>
    </w:p>
    <w:p w14:paraId="43819DC0">
      <w:pPr>
        <w:rPr>
          <w:rFonts w:hint="eastAsia" w:ascii="仿宋" w:hAnsi="仿宋" w:eastAsia="仿宋" w:cs="仿宋"/>
          <w:b/>
          <w:bCs/>
          <w:color w:val="auto"/>
          <w:szCs w:val="24"/>
          <w:highlight w:val="none"/>
        </w:rPr>
      </w:pPr>
    </w:p>
    <w:p w14:paraId="0233C865">
      <w:pPr>
        <w:rPr>
          <w:rFonts w:hint="eastAsia" w:ascii="仿宋" w:hAnsi="仿宋" w:eastAsia="仿宋" w:cs="仿宋"/>
          <w:b/>
          <w:bCs/>
          <w:color w:val="auto"/>
          <w:szCs w:val="24"/>
          <w:highlight w:val="none"/>
        </w:rPr>
      </w:pPr>
    </w:p>
    <w:p w14:paraId="4C763DA1">
      <w:pPr>
        <w:rPr>
          <w:rFonts w:hint="eastAsia" w:ascii="仿宋" w:hAnsi="仿宋" w:eastAsia="仿宋" w:cs="仿宋"/>
          <w:b/>
          <w:bCs/>
          <w:color w:val="auto"/>
          <w:szCs w:val="24"/>
          <w:highlight w:val="none"/>
        </w:rPr>
      </w:pPr>
    </w:p>
    <w:p w14:paraId="16C55F89">
      <w:pPr>
        <w:rPr>
          <w:rFonts w:hint="eastAsia" w:ascii="仿宋" w:hAnsi="仿宋" w:eastAsia="仿宋" w:cs="仿宋"/>
          <w:b/>
          <w:bCs/>
          <w:color w:val="auto"/>
          <w:szCs w:val="24"/>
          <w:highlight w:val="none"/>
        </w:rPr>
      </w:pPr>
    </w:p>
    <w:p w14:paraId="590787D2">
      <w:pPr>
        <w:rPr>
          <w:rFonts w:hint="eastAsia" w:ascii="仿宋" w:hAnsi="仿宋" w:eastAsia="仿宋" w:cs="仿宋"/>
          <w:b/>
          <w:bCs/>
          <w:color w:val="auto"/>
          <w:szCs w:val="24"/>
          <w:highlight w:val="none"/>
        </w:rPr>
      </w:pPr>
    </w:p>
    <w:p w14:paraId="2B27E66B">
      <w:pPr>
        <w:rPr>
          <w:rFonts w:hint="eastAsia" w:ascii="仿宋" w:hAnsi="仿宋" w:eastAsia="仿宋" w:cs="仿宋"/>
          <w:b/>
          <w:bCs/>
          <w:color w:val="auto"/>
          <w:szCs w:val="24"/>
          <w:highlight w:val="none"/>
        </w:rPr>
      </w:pPr>
    </w:p>
    <w:p w14:paraId="57D9A305">
      <w:pPr>
        <w:rPr>
          <w:rFonts w:hint="eastAsia" w:ascii="仿宋" w:hAnsi="仿宋" w:eastAsia="仿宋" w:cs="仿宋"/>
          <w:b/>
          <w:bCs/>
          <w:color w:val="auto"/>
          <w:szCs w:val="24"/>
          <w:highlight w:val="none"/>
        </w:rPr>
      </w:pPr>
    </w:p>
    <w:bookmarkEnd w:id="1"/>
    <w:p w14:paraId="51588B04">
      <w:pPr>
        <w:pStyle w:val="2"/>
        <w:numPr>
          <w:ilvl w:val="0"/>
          <w:numId w:val="2"/>
        </w:numPr>
        <w:rPr>
          <w:rFonts w:hint="eastAsia" w:ascii="仿宋" w:hAnsi="仿宋" w:eastAsia="仿宋" w:cs="仿宋"/>
          <w:color w:val="auto"/>
          <w:highlight w:val="none"/>
        </w:rPr>
      </w:pPr>
      <w:bookmarkStart w:id="39" w:name="_Toc11293"/>
      <w:r>
        <w:rPr>
          <w:rFonts w:hint="eastAsia" w:ascii="仿宋" w:hAnsi="仿宋" w:eastAsia="仿宋" w:cs="仿宋"/>
          <w:color w:val="auto"/>
          <w:highlight w:val="none"/>
        </w:rPr>
        <w:t>响应文件格式</w:t>
      </w:r>
      <w:bookmarkEnd w:id="39"/>
    </w:p>
    <w:p w14:paraId="2EB0EFA9">
      <w:pPr>
        <w:jc w:val="right"/>
        <w:rPr>
          <w:rFonts w:hint="eastAsia" w:ascii="仿宋" w:hAnsi="仿宋" w:eastAsia="仿宋" w:cs="仿宋"/>
          <w:b/>
          <w:color w:val="auto"/>
          <w:sz w:val="44"/>
          <w:szCs w:val="44"/>
          <w:highlight w:val="none"/>
        </w:rPr>
      </w:pPr>
      <w:bookmarkStart w:id="40" w:name="_Toc26839_WPSOffice_Level1"/>
      <w:r>
        <w:rPr>
          <w:rFonts w:hint="eastAsia" w:ascii="仿宋" w:hAnsi="仿宋" w:eastAsia="仿宋" w:cs="仿宋"/>
          <w:b/>
          <w:color w:val="auto"/>
          <w:sz w:val="44"/>
          <w:szCs w:val="44"/>
          <w:highlight w:val="none"/>
        </w:rPr>
        <w:t>正、副</w:t>
      </w:r>
      <w:bookmarkEnd w:id="40"/>
    </w:p>
    <w:p w14:paraId="0751C581">
      <w:pPr>
        <w:pStyle w:val="9"/>
        <w:rPr>
          <w:rFonts w:hint="eastAsia" w:ascii="仿宋" w:hAnsi="仿宋" w:eastAsia="仿宋" w:cs="仿宋"/>
          <w:color w:val="auto"/>
          <w:highlight w:val="none"/>
        </w:rPr>
      </w:pPr>
    </w:p>
    <w:p w14:paraId="68F19C81">
      <w:pPr>
        <w:rPr>
          <w:rFonts w:hint="eastAsia" w:ascii="仿宋" w:hAnsi="仿宋" w:eastAsia="仿宋" w:cs="仿宋"/>
          <w:b/>
          <w:color w:val="auto"/>
          <w:sz w:val="48"/>
          <w:szCs w:val="48"/>
          <w:highlight w:val="none"/>
        </w:rPr>
      </w:pPr>
    </w:p>
    <w:p w14:paraId="63832D6D">
      <w:pPr>
        <w:pStyle w:val="9"/>
        <w:rPr>
          <w:rFonts w:hint="eastAsia" w:ascii="仿宋" w:hAnsi="仿宋" w:eastAsia="仿宋" w:cs="仿宋"/>
          <w:color w:val="auto"/>
          <w:highlight w:val="none"/>
        </w:rPr>
      </w:pPr>
    </w:p>
    <w:p w14:paraId="4E8393BD">
      <w:pPr>
        <w:jc w:val="center"/>
        <w:rPr>
          <w:rFonts w:hint="eastAsia" w:ascii="仿宋" w:hAnsi="仿宋" w:eastAsia="仿宋" w:cs="仿宋"/>
          <w:b/>
          <w:color w:val="auto"/>
          <w:sz w:val="72"/>
          <w:szCs w:val="72"/>
          <w:highlight w:val="none"/>
        </w:rPr>
      </w:pPr>
      <w:bookmarkStart w:id="41" w:name="_Toc9477_WPSOffice_Level1"/>
      <w:r>
        <w:rPr>
          <w:rFonts w:hint="eastAsia" w:ascii="仿宋" w:hAnsi="仿宋" w:eastAsia="仿宋" w:cs="仿宋"/>
          <w:b/>
          <w:color w:val="auto"/>
          <w:sz w:val="72"/>
          <w:szCs w:val="72"/>
          <w:highlight w:val="none"/>
          <w:lang w:eastAsia="zh-CN"/>
        </w:rPr>
        <w:t>框架协议</w:t>
      </w:r>
      <w:r>
        <w:rPr>
          <w:rFonts w:hint="eastAsia" w:ascii="仿宋" w:hAnsi="仿宋" w:eastAsia="仿宋" w:cs="仿宋"/>
          <w:b/>
          <w:color w:val="auto"/>
          <w:sz w:val="72"/>
          <w:szCs w:val="72"/>
          <w:highlight w:val="none"/>
        </w:rPr>
        <w:t>采购</w:t>
      </w:r>
    </w:p>
    <w:p w14:paraId="2CFC20B0">
      <w:pPr>
        <w:jc w:val="center"/>
        <w:rPr>
          <w:rFonts w:hint="eastAsia" w:ascii="仿宋" w:hAnsi="仿宋" w:eastAsia="仿宋" w:cs="仿宋"/>
          <w:b/>
          <w:color w:val="auto"/>
          <w:sz w:val="48"/>
          <w:szCs w:val="48"/>
          <w:highlight w:val="none"/>
        </w:rPr>
      </w:pPr>
      <w:r>
        <w:rPr>
          <w:rFonts w:hint="eastAsia" w:ascii="仿宋" w:hAnsi="仿宋" w:eastAsia="仿宋" w:cs="仿宋"/>
          <w:b/>
          <w:color w:val="auto"/>
          <w:sz w:val="72"/>
          <w:szCs w:val="72"/>
          <w:highlight w:val="none"/>
        </w:rPr>
        <w:t>响应文件</w:t>
      </w:r>
      <w:bookmarkEnd w:id="41"/>
    </w:p>
    <w:p w14:paraId="79E3E123">
      <w:pPr>
        <w:pStyle w:val="9"/>
        <w:ind w:left="0"/>
        <w:rPr>
          <w:rFonts w:hint="eastAsia" w:ascii="仿宋" w:hAnsi="仿宋" w:eastAsia="仿宋" w:cs="仿宋"/>
          <w:b/>
          <w:color w:val="auto"/>
          <w:sz w:val="48"/>
          <w:szCs w:val="48"/>
          <w:highlight w:val="none"/>
        </w:rPr>
      </w:pPr>
    </w:p>
    <w:p w14:paraId="3312DDA0">
      <w:pPr>
        <w:pStyle w:val="9"/>
        <w:rPr>
          <w:rFonts w:hint="eastAsia" w:ascii="仿宋" w:hAnsi="仿宋" w:eastAsia="仿宋" w:cs="仿宋"/>
          <w:b/>
          <w:color w:val="auto"/>
          <w:sz w:val="32"/>
          <w:szCs w:val="32"/>
          <w:highlight w:val="none"/>
        </w:rPr>
      </w:pPr>
      <w:bookmarkStart w:id="42" w:name="_Toc6541_WPSOffice_Level1"/>
      <w:r>
        <w:rPr>
          <w:rFonts w:hint="eastAsia" w:ascii="仿宋" w:hAnsi="仿宋" w:eastAsia="仿宋" w:cs="仿宋"/>
          <w:b/>
          <w:color w:val="auto"/>
          <w:sz w:val="32"/>
          <w:szCs w:val="32"/>
          <w:highlight w:val="none"/>
        </w:rPr>
        <w:t>项目名称：</w:t>
      </w:r>
      <w:bookmarkEnd w:id="42"/>
    </w:p>
    <w:p w14:paraId="2C8B9D00">
      <w:pPr>
        <w:pStyle w:val="9"/>
        <w:rPr>
          <w:rFonts w:hint="eastAsia" w:ascii="仿宋" w:hAnsi="仿宋" w:eastAsia="仿宋" w:cs="仿宋"/>
          <w:b/>
          <w:color w:val="auto"/>
          <w:sz w:val="32"/>
          <w:szCs w:val="32"/>
          <w:highlight w:val="none"/>
        </w:rPr>
      </w:pPr>
      <w:bookmarkStart w:id="43" w:name="_Toc18987_WPSOffice_Level1"/>
      <w:r>
        <w:rPr>
          <w:rFonts w:hint="eastAsia" w:ascii="仿宋" w:hAnsi="仿宋" w:eastAsia="仿宋" w:cs="仿宋"/>
          <w:b/>
          <w:color w:val="auto"/>
          <w:sz w:val="32"/>
          <w:szCs w:val="32"/>
          <w:highlight w:val="none"/>
        </w:rPr>
        <w:t>采购编号：</w:t>
      </w:r>
      <w:bookmarkEnd w:id="43"/>
    </w:p>
    <w:p w14:paraId="5F4EA84F">
      <w:pPr>
        <w:pStyle w:val="9"/>
        <w:rPr>
          <w:rFonts w:hint="eastAsia" w:ascii="仿宋" w:hAnsi="仿宋" w:eastAsia="仿宋" w:cs="仿宋"/>
          <w:b/>
          <w:color w:val="auto"/>
          <w:sz w:val="32"/>
          <w:szCs w:val="32"/>
          <w:highlight w:val="none"/>
        </w:rPr>
      </w:pPr>
    </w:p>
    <w:p w14:paraId="458201D5">
      <w:pPr>
        <w:pStyle w:val="9"/>
        <w:rPr>
          <w:rFonts w:hint="eastAsia" w:ascii="仿宋" w:hAnsi="仿宋" w:eastAsia="仿宋" w:cs="仿宋"/>
          <w:b/>
          <w:color w:val="auto"/>
          <w:sz w:val="32"/>
          <w:szCs w:val="32"/>
          <w:highlight w:val="none"/>
        </w:rPr>
      </w:pPr>
    </w:p>
    <w:p w14:paraId="21A084E4">
      <w:pPr>
        <w:pStyle w:val="9"/>
        <w:rPr>
          <w:rFonts w:hint="eastAsia" w:ascii="仿宋" w:hAnsi="仿宋" w:eastAsia="仿宋" w:cs="仿宋"/>
          <w:b/>
          <w:color w:val="auto"/>
          <w:sz w:val="32"/>
          <w:szCs w:val="32"/>
          <w:highlight w:val="none"/>
        </w:rPr>
      </w:pPr>
      <w:bookmarkStart w:id="44" w:name="_Toc12642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名称：</w:t>
      </w:r>
      <w:bookmarkEnd w:id="44"/>
    </w:p>
    <w:p w14:paraId="2A784632">
      <w:pPr>
        <w:pStyle w:val="9"/>
        <w:rPr>
          <w:rFonts w:hint="eastAsia" w:ascii="仿宋" w:hAnsi="仿宋" w:eastAsia="仿宋" w:cs="仿宋"/>
          <w:b/>
          <w:color w:val="auto"/>
          <w:sz w:val="32"/>
          <w:szCs w:val="32"/>
          <w:highlight w:val="none"/>
        </w:rPr>
      </w:pPr>
      <w:bookmarkStart w:id="45" w:name="_Toc25978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地址：</w:t>
      </w:r>
      <w:bookmarkEnd w:id="45"/>
    </w:p>
    <w:p w14:paraId="164573DE">
      <w:pPr>
        <w:pStyle w:val="9"/>
        <w:rPr>
          <w:rFonts w:hint="eastAsia" w:ascii="仿宋" w:hAnsi="仿宋" w:eastAsia="仿宋" w:cs="仿宋"/>
          <w:b/>
          <w:color w:val="auto"/>
          <w:sz w:val="32"/>
          <w:szCs w:val="32"/>
          <w:highlight w:val="none"/>
        </w:rPr>
      </w:pPr>
      <w:bookmarkStart w:id="46" w:name="_Toc19750_WPSOffice_Level1"/>
      <w:r>
        <w:rPr>
          <w:rFonts w:hint="eastAsia" w:ascii="仿宋" w:hAnsi="仿宋" w:eastAsia="仿宋" w:cs="仿宋"/>
          <w:b/>
          <w:color w:val="auto"/>
          <w:sz w:val="32"/>
          <w:szCs w:val="32"/>
          <w:highlight w:val="none"/>
          <w:lang w:eastAsia="zh-CN"/>
        </w:rPr>
        <w:t>服务商</w:t>
      </w:r>
      <w:r>
        <w:rPr>
          <w:rFonts w:hint="eastAsia" w:ascii="仿宋" w:hAnsi="仿宋" w:eastAsia="仿宋" w:cs="仿宋"/>
          <w:b/>
          <w:color w:val="auto"/>
          <w:sz w:val="32"/>
          <w:szCs w:val="32"/>
          <w:highlight w:val="none"/>
        </w:rPr>
        <w:t>联系人及电话：</w:t>
      </w:r>
      <w:bookmarkEnd w:id="46"/>
    </w:p>
    <w:p w14:paraId="60AEB1AD">
      <w:pPr>
        <w:pStyle w:val="9"/>
        <w:jc w:val="center"/>
        <w:rPr>
          <w:rFonts w:hint="eastAsia" w:ascii="仿宋" w:hAnsi="仿宋" w:eastAsia="仿宋" w:cs="仿宋"/>
          <w:b/>
          <w:color w:val="auto"/>
          <w:sz w:val="44"/>
          <w:szCs w:val="44"/>
          <w:highlight w:val="none"/>
        </w:rPr>
      </w:pPr>
    </w:p>
    <w:p w14:paraId="3103CB2F">
      <w:pPr>
        <w:pStyle w:val="9"/>
        <w:jc w:val="center"/>
        <w:rPr>
          <w:rFonts w:hint="eastAsia" w:ascii="仿宋" w:hAnsi="仿宋" w:eastAsia="仿宋" w:cs="仿宋"/>
          <w:b/>
          <w:color w:val="auto"/>
          <w:sz w:val="32"/>
          <w:szCs w:val="32"/>
          <w:highlight w:val="none"/>
        </w:rPr>
      </w:pPr>
      <w:bookmarkStart w:id="47" w:name="_Toc1719_WPSOffice_Level1"/>
      <w:r>
        <w:rPr>
          <w:rFonts w:hint="eastAsia" w:ascii="仿宋" w:hAnsi="仿宋" w:eastAsia="仿宋" w:cs="仿宋"/>
          <w:b/>
          <w:color w:val="auto"/>
          <w:sz w:val="32"/>
          <w:szCs w:val="32"/>
          <w:highlight w:val="none"/>
        </w:rPr>
        <w:t xml:space="preserve">    年  月  日</w:t>
      </w:r>
      <w:bookmarkEnd w:id="47"/>
    </w:p>
    <w:p w14:paraId="40BC5879">
      <w:pPr>
        <w:spacing w:line="200" w:lineRule="exact"/>
        <w:rPr>
          <w:rFonts w:hint="eastAsia" w:ascii="仿宋" w:hAnsi="仿宋" w:eastAsia="仿宋" w:cs="仿宋"/>
          <w:color w:val="auto"/>
          <w:sz w:val="20"/>
          <w:szCs w:val="20"/>
          <w:highlight w:val="none"/>
        </w:rPr>
      </w:pPr>
    </w:p>
    <w:p w14:paraId="1DF10794">
      <w:pP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br w:type="page"/>
      </w:r>
    </w:p>
    <w:p w14:paraId="61A72BF6">
      <w:pPr>
        <w:pStyle w:val="3"/>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1、响应函*</w:t>
      </w:r>
    </w:p>
    <w:p w14:paraId="101B8571">
      <w:pPr>
        <w:ind w:right="154" w:rightChars="64"/>
        <w:rPr>
          <w:rFonts w:hint="eastAsia" w:ascii="仿宋" w:hAnsi="仿宋" w:eastAsia="仿宋" w:cs="仿宋"/>
          <w:color w:val="auto"/>
          <w:highlight w:val="none"/>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rPr>
        <w:t>（采购人单位全称）</w:t>
      </w:r>
      <w:r>
        <w:rPr>
          <w:rFonts w:hint="eastAsia" w:ascii="仿宋" w:hAnsi="仿宋" w:eastAsia="仿宋" w:cs="仿宋"/>
          <w:color w:val="auto"/>
          <w:szCs w:val="24"/>
          <w:highlight w:val="none"/>
        </w:rPr>
        <w:t>：</w:t>
      </w:r>
    </w:p>
    <w:p w14:paraId="48541BF5">
      <w:pPr>
        <w:ind w:right="154" w:rightChars="64"/>
        <w:rPr>
          <w:rFonts w:hint="eastAsia" w:ascii="仿宋" w:hAnsi="仿宋" w:eastAsia="仿宋" w:cs="仿宋"/>
          <w:color w:val="auto"/>
          <w:highlight w:val="none"/>
        </w:rPr>
      </w:pPr>
      <w:r>
        <w:rPr>
          <w:rFonts w:hint="eastAsia" w:ascii="仿宋" w:hAnsi="仿宋" w:eastAsia="仿宋" w:cs="仿宋"/>
          <w:color w:val="auto"/>
          <w:szCs w:val="24"/>
          <w:highlight w:val="none"/>
        </w:rPr>
        <w:t>根据贵方“采购项目”（采购编号）</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采购征集公告，正式授权下述签字人（姓名）代表</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单位全称），</w:t>
      </w:r>
      <w:r>
        <w:rPr>
          <w:rFonts w:hint="eastAsia" w:ascii="仿宋" w:hAnsi="仿宋" w:eastAsia="仿宋" w:cs="仿宋"/>
          <w:color w:val="auto"/>
          <w:highlight w:val="none"/>
        </w:rPr>
        <w:t>提交一式</w:t>
      </w: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份纸质</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文件（1份正本、</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份副本），</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文件的正本与副本如有不一致之处，以正本为准</w:t>
      </w:r>
      <w:r>
        <w:rPr>
          <w:rFonts w:hint="eastAsia" w:ascii="仿宋" w:hAnsi="仿宋" w:eastAsia="仿宋" w:cs="仿宋"/>
          <w:color w:val="auto"/>
          <w:szCs w:val="24"/>
          <w:highlight w:val="none"/>
        </w:rPr>
        <w:t>。</w:t>
      </w:r>
    </w:p>
    <w:p w14:paraId="58A5907A">
      <w:pPr>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据此函，签字人兹郑重承诺：</w:t>
      </w:r>
    </w:p>
    <w:p w14:paraId="2D90A085">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（1）我方是符合《中华人民共和国政府采购法》第22条规定的</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，并严格遵守《中华人民共和国政府采购法》第77条的规定。</w:t>
      </w:r>
    </w:p>
    <w:p w14:paraId="710A1F1F">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（2）我方已详细审核你们全部</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采购征集文件，包括</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采购修改书（如果有</w:t>
      </w:r>
      <w:bookmarkStart w:id="48" w:name="_Toc5695_WPSOffice_Level1"/>
      <w:r>
        <w:rPr>
          <w:rFonts w:hint="eastAsia" w:ascii="仿宋" w:hAnsi="仿宋" w:eastAsia="仿宋" w:cs="仿宋"/>
          <w:color w:val="auto"/>
          <w:szCs w:val="24"/>
          <w:highlight w:val="none"/>
        </w:rPr>
        <w:t>的话），参考资料及有关附</w:t>
      </w:r>
      <w:bookmarkEnd w:id="48"/>
      <w:r>
        <w:rPr>
          <w:rFonts w:hint="eastAsia" w:ascii="仿宋" w:hAnsi="仿宋" w:eastAsia="仿宋" w:cs="仿宋"/>
          <w:color w:val="auto"/>
          <w:szCs w:val="24"/>
          <w:highlight w:val="none"/>
        </w:rPr>
        <w:t>件，我们知道必须放弃提出含糊不清或误解的问题的权利。我公司清楚征集文件一切条款，并愿意接受征集文件一切要求条款。</w:t>
      </w:r>
    </w:p>
    <w:p w14:paraId="0568012E">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（3）我方接受征集文件所有条款和规定。我们将根据</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采购的规定，严格履行合同的责任和义务,并保证于买方要求的日期内完成交付，并交付买方评审、后续实施单位使用等。</w:t>
      </w:r>
    </w:p>
    <w:p w14:paraId="528A730F">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（4）我方同意从</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须知规定的征集期限起遵循本征集文件，在本响应文件有效期具有约束力。</w:t>
      </w:r>
    </w:p>
    <w:p w14:paraId="2611A342">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（5）同意向你方提供你方可能另外要求的与其协议有关的任何证据或资料。</w:t>
      </w:r>
    </w:p>
    <w:p w14:paraId="76BD5282">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（6）我方理解你们不承担我方本次</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的费用。我方愿意遵守国家有关规定及征集文件中的收费标准。</w:t>
      </w:r>
    </w:p>
    <w:p w14:paraId="6B56FAAC">
      <w:pPr>
        <w:tabs>
          <w:tab w:val="left" w:pos="3060"/>
          <w:tab w:val="left" w:pos="4880"/>
        </w:tabs>
        <w:ind w:right="154" w:rightChars="64"/>
        <w:rPr>
          <w:rFonts w:hint="eastAsia" w:ascii="仿宋" w:hAnsi="仿宋" w:eastAsia="仿宋" w:cs="仿宋"/>
          <w:color w:val="auto"/>
          <w:szCs w:val="24"/>
          <w:highlight w:val="none"/>
        </w:rPr>
      </w:pPr>
      <w:r>
        <w:rPr>
          <w:rFonts w:hint="eastAsia" w:ascii="仿宋" w:hAnsi="仿宋" w:eastAsia="仿宋" w:cs="仿宋"/>
          <w:color w:val="auto"/>
          <w:szCs w:val="24"/>
          <w:highlight w:val="none"/>
        </w:rPr>
        <w:t>（7）以上事项如有虚假或隐瞒，我方愿意承担一切后果。</w:t>
      </w:r>
    </w:p>
    <w:p w14:paraId="5584CB05">
      <w:pPr>
        <w:tabs>
          <w:tab w:val="left" w:pos="3060"/>
          <w:tab w:val="left" w:pos="4880"/>
        </w:tabs>
        <w:rPr>
          <w:rFonts w:hint="eastAsia" w:ascii="仿宋" w:hAnsi="仿宋" w:eastAsia="仿宋" w:cs="仿宋"/>
          <w:color w:val="auto"/>
          <w:szCs w:val="24"/>
          <w:highlight w:val="none"/>
        </w:rPr>
      </w:pPr>
      <w:r>
        <w:rPr>
          <w:rFonts w:hint="eastAsia" w:ascii="仿宋" w:hAnsi="仿宋" w:eastAsia="仿宋" w:cs="仿宋"/>
          <w:color w:val="auto"/>
          <w:szCs w:val="24"/>
          <w:highlight w:val="none"/>
        </w:rPr>
        <w:t>（8）与本</w:t>
      </w:r>
      <w:r>
        <w:rPr>
          <w:rFonts w:hint="eastAsia" w:ascii="仿宋" w:hAnsi="仿宋" w:eastAsia="仿宋" w:cs="仿宋"/>
          <w:color w:val="auto"/>
          <w:szCs w:val="24"/>
          <w:highlight w:val="none"/>
          <w:lang w:eastAsia="zh-CN"/>
        </w:rPr>
        <w:t>框架协议</w:t>
      </w:r>
      <w:r>
        <w:rPr>
          <w:rFonts w:hint="eastAsia" w:ascii="仿宋" w:hAnsi="仿宋" w:eastAsia="仿宋" w:cs="仿宋"/>
          <w:color w:val="auto"/>
          <w:szCs w:val="24"/>
          <w:highlight w:val="none"/>
        </w:rPr>
        <w:t>采购有关的信息请寄：</w:t>
      </w:r>
    </w:p>
    <w:p w14:paraId="2D2CC3C4">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名称：</w:t>
      </w:r>
      <w:r>
        <w:rPr>
          <w:rFonts w:hint="eastAsia" w:ascii="仿宋" w:hAnsi="仿宋" w:eastAsia="仿宋" w:cs="仿宋"/>
          <w:color w:val="auto"/>
          <w:szCs w:val="24"/>
          <w:highlight w:val="none"/>
          <w:u w:val="single"/>
        </w:rPr>
        <w:t xml:space="preserve">                   （公章）</w:t>
      </w:r>
    </w:p>
    <w:p w14:paraId="6F738F85">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通讯地址：</w:t>
      </w:r>
    </w:p>
    <w:p w14:paraId="1E34B74D">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电话：</w:t>
      </w:r>
    </w:p>
    <w:p w14:paraId="44CC1ACA">
      <w:pPr>
        <w:pStyle w:val="10"/>
        <w:ind w:firstLine="240"/>
        <w:rPr>
          <w:rFonts w:hint="eastAsia" w:ascii="仿宋" w:hAnsi="仿宋" w:eastAsia="仿宋" w:cs="仿宋"/>
          <w:color w:val="auto"/>
          <w:szCs w:val="24"/>
          <w:highlight w:val="none"/>
          <w:u w:val="single"/>
        </w:rPr>
      </w:pPr>
      <w:r>
        <w:rPr>
          <w:rFonts w:hint="eastAsia" w:ascii="仿宋" w:hAnsi="仿宋" w:eastAsia="仿宋" w:cs="仿宋"/>
          <w:color w:val="auto"/>
          <w:szCs w:val="24"/>
          <w:highlight w:val="none"/>
        </w:rPr>
        <w:t>传真：</w:t>
      </w:r>
    </w:p>
    <w:p w14:paraId="08E7EC1D">
      <w:pPr>
        <w:pStyle w:val="10"/>
        <w:ind w:firstLine="24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日期：    年  月  日</w:t>
      </w:r>
    </w:p>
    <w:p w14:paraId="4EE42A6D">
      <w:pPr>
        <w:pStyle w:val="3"/>
        <w:rPr>
          <w:rFonts w:hint="eastAsia" w:ascii="仿宋" w:hAnsi="仿宋" w:eastAsia="仿宋" w:cs="仿宋"/>
          <w:b w:val="0"/>
          <w:bCs w:val="0"/>
          <w:color w:val="auto"/>
          <w:szCs w:val="24"/>
          <w:highlight w:val="none"/>
        </w:rPr>
      </w:pPr>
    </w:p>
    <w:p w14:paraId="7F2D16F1">
      <w:pPr>
        <w:pStyle w:val="3"/>
        <w:rPr>
          <w:rFonts w:hint="eastAsia" w:ascii="仿宋" w:hAnsi="仿宋" w:eastAsia="仿宋" w:cs="仿宋"/>
          <w:b w:val="0"/>
          <w:bCs w:val="0"/>
          <w:color w:val="auto"/>
          <w:szCs w:val="24"/>
          <w:highlight w:val="none"/>
        </w:rPr>
      </w:pPr>
    </w:p>
    <w:p w14:paraId="0D119BB4">
      <w:pPr>
        <w:pageBreakBefore w:val="0"/>
        <w:widowControl w:val="0"/>
        <w:kinsoku/>
        <w:wordWrap/>
        <w:overflowPunct/>
        <w:topLinePunct w:val="0"/>
        <w:bidi w:val="0"/>
        <w:spacing w:line="219" w:lineRule="auto"/>
        <w:jc w:val="both"/>
        <w:rPr>
          <w:rFonts w:hint="eastAsia" w:ascii="仿宋" w:hAnsi="仿宋" w:eastAsia="仿宋" w:cs="仿宋"/>
          <w:color w:val="auto"/>
          <w:sz w:val="24"/>
          <w:szCs w:val="24"/>
          <w:highlight w:val="none"/>
          <w:lang w:eastAsia="zh-CN"/>
        </w:rPr>
        <w:sectPr>
          <w:footerReference r:id="rId10" w:type="default"/>
          <w:pgSz w:w="11906" w:h="16839"/>
          <w:pgMar w:top="1426" w:right="1785" w:bottom="1429" w:left="1785" w:header="0" w:footer="1200" w:gutter="0"/>
          <w:pgNumType w:fmt="decimal"/>
          <w:cols w:space="720" w:num="1"/>
        </w:sectPr>
      </w:pPr>
    </w:p>
    <w:p w14:paraId="1E03F649">
      <w:pPr>
        <w:pageBreakBefore w:val="0"/>
        <w:widowControl w:val="0"/>
        <w:kinsoku/>
        <w:wordWrap/>
        <w:overflowPunct/>
        <w:topLinePunct w:val="0"/>
        <w:bidi w:val="0"/>
        <w:spacing w:before="78" w:line="219" w:lineRule="auto"/>
        <w:ind w:left="5870"/>
        <w:jc w:val="both"/>
        <w:outlineLvl w:val="1"/>
        <w:rPr>
          <w:rFonts w:hint="eastAsia" w:ascii="仿宋" w:hAnsi="仿宋" w:eastAsia="仿宋" w:cs="仿宋"/>
          <w:color w:val="auto"/>
          <w:sz w:val="24"/>
          <w:szCs w:val="24"/>
          <w:highlight w:val="none"/>
          <w:lang w:eastAsia="zh-CN"/>
        </w:rPr>
      </w:pPr>
      <w:bookmarkStart w:id="49" w:name="_Toc778"/>
      <w:r>
        <w:rPr>
          <w:rFonts w:hint="eastAsia" w:ascii="仿宋" w:hAnsi="仿宋" w:eastAsia="仿宋" w:cs="仿宋"/>
          <w:color w:val="auto"/>
          <w:spacing w:val="-1"/>
          <w:sz w:val="24"/>
          <w:szCs w:val="24"/>
          <w:highlight w:val="none"/>
          <w:lang w:val="en-US" w:eastAsia="zh-CN"/>
          <w14:textOutline w14:w="4356" w14:cap="sq" w14:cmpd="sng" w14:algn="ctr">
            <w14:solidFill>
              <w14:srgbClr w14:val="000000"/>
            </w14:solidFill>
            <w14:prstDash w14:val="solid"/>
            <w14:bevel/>
          </w14:textOutline>
        </w:rPr>
        <w:t>2、报价</w:t>
      </w:r>
      <w:r>
        <w:rPr>
          <w:rFonts w:hint="eastAsia" w:ascii="仿宋" w:hAnsi="仿宋" w:eastAsia="仿宋" w:cs="仿宋"/>
          <w:color w:val="auto"/>
          <w:spacing w:val="-1"/>
          <w:sz w:val="24"/>
          <w:szCs w:val="24"/>
          <w:highlight w:val="none"/>
          <w:lang w:eastAsia="zh-CN"/>
          <w14:textOutline w14:w="4356" w14:cap="sq" w14:cmpd="sng" w14:algn="ctr">
            <w14:solidFill>
              <w14:srgbClr w14:val="000000"/>
            </w14:solidFill>
            <w14:prstDash w14:val="solid"/>
            <w14:bevel/>
          </w14:textOutline>
        </w:rPr>
        <w:t>一览</w:t>
      </w:r>
      <w:bookmarkEnd w:id="49"/>
      <w:r>
        <w:rPr>
          <w:rFonts w:hint="eastAsia" w:ascii="仿宋" w:hAnsi="仿宋" w:eastAsia="仿宋" w:cs="仿宋"/>
          <w:color w:val="auto"/>
          <w:spacing w:val="-1"/>
          <w:sz w:val="24"/>
          <w:szCs w:val="24"/>
          <w:highlight w:val="none"/>
          <w:lang w:eastAsia="zh-CN"/>
          <w14:textOutline w14:w="4356" w14:cap="sq" w14:cmpd="sng" w14:algn="ctr">
            <w14:solidFill>
              <w14:srgbClr w14:val="000000"/>
            </w14:solidFill>
            <w14:prstDash w14:val="solid"/>
            <w14:bevel/>
          </w14:textOutline>
        </w:rPr>
        <w:t>明细表</w:t>
      </w:r>
    </w:p>
    <w:p w14:paraId="57610519">
      <w:pPr>
        <w:pageBreakBefore w:val="0"/>
        <w:widowControl w:val="0"/>
        <w:kinsoku/>
        <w:wordWrap/>
        <w:overflowPunct/>
        <w:topLinePunct w:val="0"/>
        <w:bidi w:val="0"/>
        <w:spacing w:before="182" w:line="220" w:lineRule="auto"/>
        <w:ind w:left="129"/>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供应商名称：</w:t>
      </w:r>
    </w:p>
    <w:p w14:paraId="5D79D777">
      <w:pPr>
        <w:pageBreakBefore w:val="0"/>
        <w:widowControl w:val="0"/>
        <w:wordWrap/>
        <w:overflowPunct/>
        <w:topLinePunct w:val="0"/>
        <w:bidi w:val="0"/>
        <w:spacing w:before="182" w:line="219" w:lineRule="auto"/>
        <w:ind w:left="130"/>
        <w:rPr>
          <w:rFonts w:hint="eastAsia" w:ascii="仿宋" w:hAnsi="仿宋" w:eastAsia="仿宋" w:cs="仿宋"/>
          <w:color w:val="auto"/>
          <w:spacing w:val="0"/>
          <w:w w:val="100"/>
          <w:position w:val="0"/>
          <w:sz w:val="24"/>
          <w:szCs w:val="24"/>
          <w:highlight w:val="none"/>
        </w:rPr>
      </w:pPr>
      <w:bookmarkStart w:id="50" w:name="_Toc17711"/>
      <w:r>
        <w:rPr>
          <w:rFonts w:hint="eastAsia" w:ascii="仿宋" w:hAnsi="仿宋" w:eastAsia="仿宋" w:cs="仿宋"/>
          <w:color w:val="auto"/>
          <w:spacing w:val="0"/>
          <w:w w:val="100"/>
          <w:position w:val="0"/>
          <w:sz w:val="24"/>
          <w:szCs w:val="24"/>
          <w:highlight w:val="none"/>
        </w:rPr>
        <w:t>项目编号（包号）：</w:t>
      </w:r>
    </w:p>
    <w:tbl>
      <w:tblPr>
        <w:tblStyle w:val="22"/>
        <w:tblpPr w:leftFromText="180" w:rightFromText="180" w:vertAnchor="text" w:horzAnchor="margin" w:tblpY="88"/>
        <w:tblW w:w="13802" w:type="dxa"/>
        <w:tblInd w:w="0" w:type="dxa"/>
        <w:tblLayout w:type="fixed"/>
        <w:tblCellMar>
          <w:top w:w="0" w:type="dxa"/>
          <w:left w:w="42" w:type="dxa"/>
          <w:bottom w:w="0" w:type="dxa"/>
          <w:right w:w="42" w:type="dxa"/>
        </w:tblCellMar>
      </w:tblPr>
      <w:tblGrid>
        <w:gridCol w:w="3087"/>
        <w:gridCol w:w="1940"/>
        <w:gridCol w:w="6105"/>
        <w:gridCol w:w="2670"/>
      </w:tblGrid>
      <w:tr w14:paraId="0E41A984">
        <w:tblPrEx>
          <w:tblCellMar>
            <w:top w:w="0" w:type="dxa"/>
            <w:left w:w="42" w:type="dxa"/>
            <w:bottom w:w="0" w:type="dxa"/>
            <w:right w:w="42" w:type="dxa"/>
          </w:tblCellMar>
        </w:tblPrEx>
        <w:trPr>
          <w:cantSplit/>
          <w:trHeight w:val="900" w:hRule="atLeast"/>
        </w:trPr>
        <w:tc>
          <w:tcPr>
            <w:tcW w:w="3087" w:type="dxa"/>
            <w:tcBorders>
              <w:top w:val="single" w:color="auto" w:sz="6" w:space="0"/>
              <w:left w:val="single" w:color="auto" w:sz="4" w:space="0"/>
              <w:bottom w:val="single" w:color="auto" w:sz="6" w:space="0"/>
              <w:right w:val="single" w:color="auto" w:sz="6" w:space="0"/>
            </w:tcBorders>
            <w:noWrap w:val="0"/>
            <w:vAlign w:val="center"/>
          </w:tcPr>
          <w:p w14:paraId="5DF4F6E0">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项目</w:t>
            </w:r>
            <w:r>
              <w:rPr>
                <w:rFonts w:hint="eastAsia" w:ascii="仿宋" w:hAnsi="仿宋" w:eastAsia="仿宋" w:cs="仿宋"/>
                <w:color w:val="auto"/>
                <w:szCs w:val="24"/>
                <w:highlight w:val="none"/>
              </w:rPr>
              <w:t>名称</w:t>
            </w:r>
          </w:p>
        </w:tc>
        <w:tc>
          <w:tcPr>
            <w:tcW w:w="1940" w:type="dxa"/>
            <w:tcBorders>
              <w:top w:val="single" w:color="auto" w:sz="6" w:space="0"/>
              <w:left w:val="single" w:color="auto" w:sz="4" w:space="0"/>
              <w:bottom w:val="single" w:color="auto" w:sz="6" w:space="0"/>
              <w:right w:val="single" w:color="auto" w:sz="4" w:space="0"/>
            </w:tcBorders>
            <w:noWrap w:val="0"/>
            <w:vAlign w:val="center"/>
          </w:tcPr>
          <w:p w14:paraId="6C2398DB">
            <w:pPr>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包号</w:t>
            </w:r>
          </w:p>
        </w:tc>
        <w:tc>
          <w:tcPr>
            <w:tcW w:w="6105" w:type="dxa"/>
            <w:tcBorders>
              <w:top w:val="single" w:color="auto" w:sz="6" w:space="0"/>
              <w:left w:val="single" w:color="auto" w:sz="4" w:space="0"/>
              <w:bottom w:val="single" w:color="auto" w:sz="6" w:space="0"/>
              <w:right w:val="single" w:color="auto" w:sz="4" w:space="0"/>
            </w:tcBorders>
            <w:noWrap w:val="0"/>
            <w:vAlign w:val="center"/>
          </w:tcPr>
          <w:p w14:paraId="69379095">
            <w:pPr>
              <w:spacing w:line="360" w:lineRule="auto"/>
              <w:jc w:val="center"/>
              <w:rPr>
                <w:rFonts w:hint="eastAsia" w:ascii="仿宋" w:hAnsi="仿宋" w:eastAsia="仿宋" w:cs="仿宋"/>
                <w:color w:val="auto"/>
                <w:szCs w:val="24"/>
                <w:highlight w:val="none"/>
                <w:lang w:eastAsia="zh-CN"/>
              </w:rPr>
            </w:pPr>
            <w:r>
              <w:rPr>
                <w:rFonts w:hint="eastAsia" w:ascii="仿宋" w:hAnsi="仿宋" w:cs="仿宋"/>
                <w:color w:val="auto"/>
                <w:szCs w:val="24"/>
                <w:highlight w:val="none"/>
                <w:lang w:val="en-US" w:eastAsia="zh-CN"/>
              </w:rPr>
              <w:t>费率</w:t>
            </w:r>
          </w:p>
        </w:tc>
        <w:tc>
          <w:tcPr>
            <w:tcW w:w="2670" w:type="dxa"/>
            <w:tcBorders>
              <w:top w:val="single" w:color="auto" w:sz="6" w:space="0"/>
              <w:left w:val="single" w:color="auto" w:sz="4" w:space="0"/>
              <w:bottom w:val="single" w:color="auto" w:sz="6" w:space="0"/>
              <w:right w:val="single" w:color="auto" w:sz="6" w:space="0"/>
            </w:tcBorders>
            <w:noWrap w:val="0"/>
            <w:vAlign w:val="center"/>
          </w:tcPr>
          <w:p w14:paraId="7289904A">
            <w:pPr>
              <w:spacing w:line="360" w:lineRule="auto"/>
              <w:jc w:val="center"/>
              <w:rPr>
                <w:rFonts w:hint="eastAsia" w:ascii="仿宋" w:hAnsi="仿宋" w:eastAsia="仿宋" w:cs="仿宋"/>
                <w:color w:val="auto"/>
                <w:szCs w:val="24"/>
                <w:highlight w:val="none"/>
              </w:rPr>
            </w:pPr>
          </w:p>
          <w:p w14:paraId="3806F3BC">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备注</w:t>
            </w:r>
          </w:p>
        </w:tc>
      </w:tr>
      <w:tr w14:paraId="6B2A1706">
        <w:tblPrEx>
          <w:tblCellMar>
            <w:top w:w="0" w:type="dxa"/>
            <w:left w:w="42" w:type="dxa"/>
            <w:bottom w:w="0" w:type="dxa"/>
            <w:right w:w="42" w:type="dxa"/>
          </w:tblCellMar>
        </w:tblPrEx>
        <w:trPr>
          <w:cantSplit/>
          <w:trHeight w:val="593" w:hRule="atLeast"/>
        </w:trPr>
        <w:tc>
          <w:tcPr>
            <w:tcW w:w="3087" w:type="dxa"/>
            <w:tcBorders>
              <w:top w:val="single" w:color="auto" w:sz="6" w:space="0"/>
              <w:left w:val="single" w:color="auto" w:sz="4" w:space="0"/>
              <w:bottom w:val="single" w:color="auto" w:sz="6" w:space="0"/>
              <w:right w:val="single" w:color="auto" w:sz="6" w:space="0"/>
            </w:tcBorders>
            <w:noWrap w:val="0"/>
            <w:vAlign w:val="center"/>
          </w:tcPr>
          <w:p w14:paraId="2903326B">
            <w:pPr>
              <w:spacing w:line="360" w:lineRule="auto"/>
              <w:rPr>
                <w:rFonts w:hint="eastAsia" w:ascii="仿宋" w:hAnsi="仿宋" w:eastAsia="仿宋" w:cs="仿宋"/>
                <w:color w:val="auto"/>
                <w:szCs w:val="24"/>
                <w:highlight w:val="none"/>
              </w:rPr>
            </w:pPr>
          </w:p>
        </w:tc>
        <w:tc>
          <w:tcPr>
            <w:tcW w:w="1940" w:type="dxa"/>
            <w:tcBorders>
              <w:top w:val="single" w:color="auto" w:sz="4" w:space="0"/>
              <w:left w:val="single" w:color="auto" w:sz="4" w:space="0"/>
              <w:bottom w:val="single" w:color="auto" w:sz="4" w:space="0"/>
              <w:right w:val="single" w:color="auto" w:sz="4" w:space="0"/>
            </w:tcBorders>
            <w:noWrap w:val="0"/>
            <w:vAlign w:val="center"/>
          </w:tcPr>
          <w:p w14:paraId="17C22F34">
            <w:pPr>
              <w:spacing w:line="360" w:lineRule="auto"/>
              <w:rPr>
                <w:rFonts w:hint="eastAsia" w:ascii="仿宋" w:hAnsi="仿宋" w:eastAsia="仿宋" w:cs="仿宋"/>
                <w:color w:val="auto"/>
                <w:szCs w:val="24"/>
                <w:highlight w:val="none"/>
              </w:rPr>
            </w:pPr>
          </w:p>
        </w:tc>
        <w:tc>
          <w:tcPr>
            <w:tcW w:w="6105" w:type="dxa"/>
            <w:tcBorders>
              <w:top w:val="single" w:color="auto" w:sz="4" w:space="0"/>
              <w:left w:val="single" w:color="auto" w:sz="4" w:space="0"/>
              <w:bottom w:val="single" w:color="auto" w:sz="4" w:space="0"/>
              <w:right w:val="single" w:color="auto" w:sz="4" w:space="0"/>
            </w:tcBorders>
            <w:noWrap w:val="0"/>
            <w:vAlign w:val="center"/>
          </w:tcPr>
          <w:p w14:paraId="48C8A163">
            <w:pPr>
              <w:spacing w:line="360" w:lineRule="auto"/>
              <w:rPr>
                <w:rFonts w:hint="eastAsia" w:ascii="仿宋" w:hAnsi="仿宋" w:eastAsia="仿宋" w:cs="仿宋"/>
                <w:color w:val="auto"/>
                <w:szCs w:val="24"/>
                <w:highlight w:val="none"/>
              </w:rPr>
            </w:pPr>
            <w:r>
              <w:rPr>
                <w:rFonts w:hint="eastAsia" w:ascii="仿宋" w:hAnsi="仿宋" w:eastAsia="仿宋" w:cs="仿宋"/>
                <w:color w:val="auto"/>
                <w:szCs w:val="24"/>
                <w:highlight w:val="none"/>
              </w:rPr>
              <w:t>小写：</w:t>
            </w:r>
          </w:p>
        </w:tc>
        <w:tc>
          <w:tcPr>
            <w:tcW w:w="2670" w:type="dxa"/>
            <w:tcBorders>
              <w:top w:val="single" w:color="auto" w:sz="4" w:space="0"/>
              <w:left w:val="single" w:color="auto" w:sz="4" w:space="0"/>
              <w:bottom w:val="single" w:color="auto" w:sz="4" w:space="0"/>
              <w:right w:val="single" w:color="auto" w:sz="6" w:space="0"/>
            </w:tcBorders>
            <w:noWrap w:val="0"/>
            <w:vAlign w:val="center"/>
          </w:tcPr>
          <w:p w14:paraId="1C61705C">
            <w:pPr>
              <w:spacing w:line="360" w:lineRule="auto"/>
              <w:rPr>
                <w:rFonts w:hint="eastAsia" w:ascii="仿宋" w:hAnsi="仿宋" w:eastAsia="仿宋" w:cs="仿宋"/>
                <w:color w:val="auto"/>
                <w:szCs w:val="24"/>
                <w:highlight w:val="none"/>
              </w:rPr>
            </w:pPr>
          </w:p>
        </w:tc>
      </w:tr>
      <w:tr w14:paraId="70585E9E">
        <w:tblPrEx>
          <w:tblCellMar>
            <w:top w:w="0" w:type="dxa"/>
            <w:left w:w="42" w:type="dxa"/>
            <w:bottom w:w="0" w:type="dxa"/>
            <w:right w:w="42" w:type="dxa"/>
          </w:tblCellMar>
        </w:tblPrEx>
        <w:trPr>
          <w:cantSplit/>
          <w:trHeight w:val="607" w:hRule="atLeast"/>
        </w:trPr>
        <w:tc>
          <w:tcPr>
            <w:tcW w:w="13802" w:type="dxa"/>
            <w:gridSpan w:val="4"/>
            <w:tcBorders>
              <w:top w:val="single" w:color="auto" w:sz="6" w:space="0"/>
              <w:left w:val="single" w:color="auto" w:sz="4" w:space="0"/>
              <w:bottom w:val="single" w:color="auto" w:sz="6" w:space="0"/>
              <w:right w:val="single" w:color="auto" w:sz="6" w:space="0"/>
            </w:tcBorders>
            <w:noWrap w:val="0"/>
            <w:vAlign w:val="center"/>
          </w:tcPr>
          <w:p w14:paraId="44AF017B">
            <w:pPr>
              <w:spacing w:line="360" w:lineRule="auto"/>
              <w:rPr>
                <w:rFonts w:hint="eastAsia" w:ascii="仿宋" w:hAnsi="仿宋" w:eastAsia="仿宋" w:cs="仿宋"/>
                <w:color w:val="auto"/>
                <w:szCs w:val="24"/>
                <w:highlight w:val="none"/>
                <w:lang w:eastAsia="zh-CN"/>
              </w:rPr>
            </w:pPr>
            <w:r>
              <w:rPr>
                <w:rFonts w:hint="eastAsia" w:ascii="仿宋" w:hAnsi="仿宋" w:cs="仿宋"/>
                <w:color w:val="auto"/>
                <w:szCs w:val="24"/>
                <w:highlight w:val="none"/>
                <w:lang w:val="en-US" w:eastAsia="zh-CN"/>
              </w:rPr>
              <w:t>费率</w:t>
            </w:r>
            <w:r>
              <w:rPr>
                <w:rFonts w:hint="eastAsia" w:ascii="仿宋" w:hAnsi="仿宋" w:eastAsia="仿宋" w:cs="仿宋"/>
                <w:color w:val="auto"/>
                <w:szCs w:val="24"/>
                <w:highlight w:val="none"/>
                <w:lang w:eastAsia="zh-CN"/>
              </w:rPr>
              <w:t>：（大写）</w:t>
            </w:r>
          </w:p>
        </w:tc>
      </w:tr>
    </w:tbl>
    <w:p w14:paraId="3D805885">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112F088F">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0185AD0A">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4BFECDDE">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439B4C11">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p>
    <w:p w14:paraId="0B1C6CAD">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970" w:hanging="97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注：</w:t>
      </w:r>
    </w:p>
    <w:p w14:paraId="14CBEC72">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、响应供应商如果需要对报价或其它内容加以说明，可在备注栏填写；</w:t>
      </w:r>
    </w:p>
    <w:p w14:paraId="59371AA6">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outlineLvl w:val="1"/>
        <w:rPr>
          <w:rFonts w:hint="eastAsia" w:ascii="仿宋" w:hAnsi="仿宋" w:eastAsia="仿宋" w:cs="仿宋"/>
          <w:color w:val="auto"/>
          <w:sz w:val="24"/>
          <w:highlight w:val="none"/>
          <w:lang w:val="zh-CN"/>
        </w:rPr>
      </w:pPr>
      <w:bookmarkStart w:id="51" w:name="_Toc29733"/>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、此表应经法定代表人或法定代表授权委托人签名，并盖上公章；</w:t>
      </w:r>
      <w:bookmarkEnd w:id="51"/>
    </w:p>
    <w:p w14:paraId="77BDE9DF">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、若本表与响应文件在内容上有出入，以本表为准。</w:t>
      </w:r>
    </w:p>
    <w:p w14:paraId="07E2DEE8">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spacing w:line="360" w:lineRule="auto"/>
        <w:ind w:left="1104" w:leftChars="200" w:hanging="624" w:hangingChars="26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、不得填报有选择性报价方案。</w:t>
      </w:r>
    </w:p>
    <w:p w14:paraId="6B7FD699">
      <w:pPr>
        <w:pageBreakBefore w:val="0"/>
        <w:widowControl w:val="0"/>
        <w:wordWrap/>
        <w:overflowPunct/>
        <w:topLinePunct w:val="0"/>
        <w:bidi w:val="0"/>
        <w:spacing w:before="182" w:line="219" w:lineRule="auto"/>
        <w:ind w:left="130"/>
        <w:rPr>
          <w:rFonts w:hint="eastAsia" w:ascii="仿宋" w:hAnsi="仿宋" w:eastAsia="仿宋" w:cs="仿宋"/>
          <w:color w:val="auto"/>
          <w:spacing w:val="0"/>
          <w:w w:val="100"/>
          <w:position w:val="0"/>
          <w:sz w:val="24"/>
          <w:szCs w:val="24"/>
          <w:highlight w:val="none"/>
        </w:rPr>
      </w:pPr>
      <w:r>
        <w:rPr>
          <w:rFonts w:hint="eastAsia" w:ascii="仿宋" w:hAnsi="仿宋" w:eastAsia="仿宋" w:cs="仿宋"/>
          <w:b/>
          <w:sz w:val="24"/>
          <w:highlight w:val="none"/>
        </w:rPr>
        <w:t>注：本次</w:t>
      </w:r>
      <w:r>
        <w:rPr>
          <w:rFonts w:hint="eastAsia" w:ascii="仿宋" w:hAnsi="仿宋" w:eastAsia="仿宋" w:cs="仿宋"/>
          <w:b/>
          <w:sz w:val="24"/>
          <w:highlight w:val="none"/>
          <w:lang w:val="en-US" w:eastAsia="zh-CN"/>
        </w:rPr>
        <w:t>报价</w:t>
      </w:r>
      <w:r>
        <w:rPr>
          <w:rFonts w:hint="eastAsia" w:ascii="仿宋" w:hAnsi="仿宋" w:eastAsia="仿宋" w:cs="仿宋"/>
          <w:b/>
          <w:sz w:val="24"/>
          <w:highlight w:val="none"/>
        </w:rPr>
        <w:t>不为实际的最终价格，具体价格以实际业务二</w:t>
      </w:r>
      <w:r>
        <w:rPr>
          <w:rFonts w:hint="eastAsia" w:ascii="仿宋" w:hAnsi="仿宋" w:cs="仿宋"/>
          <w:b/>
          <w:sz w:val="24"/>
          <w:highlight w:val="none"/>
          <w:lang w:val="en-US" w:eastAsia="zh-CN"/>
        </w:rPr>
        <w:t>阶段</w:t>
      </w:r>
      <w:r>
        <w:rPr>
          <w:rFonts w:hint="eastAsia" w:ascii="仿宋" w:hAnsi="仿宋" w:eastAsia="仿宋" w:cs="仿宋"/>
          <w:b/>
          <w:sz w:val="24"/>
          <w:highlight w:val="none"/>
        </w:rPr>
        <w:t>报价为准，但二</w:t>
      </w:r>
      <w:r>
        <w:rPr>
          <w:rFonts w:hint="eastAsia" w:ascii="仿宋" w:hAnsi="仿宋" w:cs="仿宋"/>
          <w:b/>
          <w:sz w:val="24"/>
          <w:highlight w:val="none"/>
          <w:lang w:val="en-US" w:eastAsia="zh-CN"/>
        </w:rPr>
        <w:t>阶段</w:t>
      </w:r>
      <w:r>
        <w:rPr>
          <w:rFonts w:hint="eastAsia" w:ascii="仿宋" w:hAnsi="仿宋" w:eastAsia="仿宋" w:cs="仿宋"/>
          <w:b/>
          <w:sz w:val="24"/>
          <w:highlight w:val="none"/>
        </w:rPr>
        <w:t>报价须低于此次的报价。</w:t>
      </w:r>
    </w:p>
    <w:p w14:paraId="3C9EC069">
      <w:pPr>
        <w:pageBreakBefore w:val="0"/>
        <w:widowControl w:val="0"/>
        <w:wordWrap/>
        <w:overflowPunct/>
        <w:topLinePunct w:val="0"/>
        <w:bidi w:val="0"/>
        <w:spacing w:line="68" w:lineRule="exact"/>
        <w:rPr>
          <w:rFonts w:hint="eastAsia" w:ascii="仿宋" w:hAnsi="仿宋" w:eastAsia="仿宋" w:cs="仿宋"/>
          <w:color w:val="auto"/>
          <w:spacing w:val="0"/>
          <w:w w:val="100"/>
          <w:position w:val="0"/>
          <w:highlight w:val="none"/>
        </w:rPr>
      </w:pPr>
    </w:p>
    <w:bookmarkEnd w:id="50"/>
    <w:p w14:paraId="72CE0BD9">
      <w:pPr>
        <w:pageBreakBefore w:val="0"/>
        <w:widowControl w:val="0"/>
        <w:kinsoku/>
        <w:wordWrap/>
        <w:overflowPunct/>
        <w:topLinePunct w:val="0"/>
        <w:bidi w:val="0"/>
        <w:spacing w:before="185" w:line="219" w:lineRule="auto"/>
        <w:ind w:left="129"/>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3"/>
          <w:sz w:val="24"/>
          <w:szCs w:val="24"/>
          <w:highlight w:val="none"/>
          <w:lang w:eastAsia="zh-CN"/>
        </w:rPr>
        <w:t>供应商盖章：</w:t>
      </w:r>
    </w:p>
    <w:p w14:paraId="394E8D41">
      <w:pPr>
        <w:pageBreakBefore w:val="0"/>
        <w:widowControl w:val="0"/>
        <w:kinsoku/>
        <w:wordWrap/>
        <w:overflowPunct/>
        <w:topLinePunct w:val="0"/>
        <w:bidi w:val="0"/>
        <w:spacing w:before="135" w:line="219" w:lineRule="auto"/>
        <w:ind w:left="127"/>
        <w:jc w:val="both"/>
        <w:rPr>
          <w:rFonts w:hint="eastAsia"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法定代表人或授权代表签字或签章：</w:t>
      </w:r>
    </w:p>
    <w:p w14:paraId="748DC2C1">
      <w:pPr>
        <w:pStyle w:val="10"/>
        <w:ind w:left="0" w:leftChars="0" w:firstLine="0" w:firstLineChars="0"/>
        <w:rPr>
          <w:rFonts w:hint="eastAsia" w:ascii="仿宋" w:hAnsi="仿宋" w:eastAsia="仿宋" w:cs="仿宋"/>
          <w:highlight w:val="none"/>
          <w:lang w:val="en-US" w:eastAsia="zh-CN"/>
        </w:rPr>
        <w:sectPr>
          <w:footerReference r:id="rId11" w:type="default"/>
          <w:pgSz w:w="16839" w:h="11906"/>
          <w:pgMar w:top="1012" w:right="1118" w:bottom="1362" w:left="1322" w:header="0" w:footer="1200" w:gutter="0"/>
          <w:pgNumType w:fmt="decimal"/>
          <w:cols w:space="720" w:num="1"/>
        </w:sectPr>
      </w:pPr>
      <w:r>
        <w:rPr>
          <w:rFonts w:hint="eastAsia" w:ascii="仿宋" w:hAnsi="仿宋" w:eastAsia="仿宋" w:cs="仿宋"/>
          <w:color w:val="auto"/>
          <w:spacing w:val="-1"/>
          <w:sz w:val="24"/>
          <w:szCs w:val="24"/>
          <w:highlight w:val="none"/>
          <w:lang w:val="en-US" w:eastAsia="zh-CN"/>
        </w:rPr>
        <w:t>日期;</w:t>
      </w:r>
    </w:p>
    <w:p w14:paraId="73BFE6CD">
      <w:pPr>
        <w:pStyle w:val="3"/>
        <w:rPr>
          <w:rFonts w:hint="eastAsia" w:ascii="仿宋" w:hAnsi="仿宋" w:eastAsia="仿宋" w:cs="仿宋"/>
          <w:b w:val="0"/>
          <w:bCs w:val="0"/>
          <w:color w:val="auto"/>
          <w:szCs w:val="24"/>
          <w:highlight w:val="none"/>
        </w:rPr>
      </w:pPr>
    </w:p>
    <w:p w14:paraId="01C888F5">
      <w:pPr>
        <w:pStyle w:val="3"/>
        <w:rPr>
          <w:rFonts w:hint="eastAsia" w:ascii="仿宋" w:hAnsi="仿宋" w:eastAsia="仿宋" w:cs="仿宋"/>
          <w:color w:val="auto"/>
          <w:highlight w:val="none"/>
        </w:rPr>
      </w:pPr>
      <w:bookmarkStart w:id="52" w:name="page39"/>
      <w:bookmarkEnd w:id="52"/>
      <w:r>
        <w:rPr>
          <w:rFonts w:hint="eastAsia" w:cs="仿宋"/>
          <w:color w:val="auto"/>
          <w:highlight w:val="none"/>
          <w:lang w:val="en-US" w:eastAsia="zh-CN"/>
        </w:rPr>
        <w:t>3</w:t>
      </w:r>
      <w:r>
        <w:rPr>
          <w:rFonts w:hint="eastAsia" w:ascii="仿宋" w:hAnsi="仿宋" w:eastAsia="仿宋" w:cs="仿宋"/>
          <w:color w:val="auto"/>
          <w:highlight w:val="none"/>
        </w:rPr>
        <w:t>、项目需求偏离情况说明表*</w:t>
      </w:r>
    </w:p>
    <w:p w14:paraId="6E592E7E">
      <w:pPr>
        <w:rPr>
          <w:rFonts w:hint="eastAsia" w:ascii="仿宋" w:hAnsi="仿宋" w:eastAsia="仿宋" w:cs="仿宋"/>
          <w:color w:val="auto"/>
          <w:highlight w:val="none"/>
        </w:rPr>
      </w:pPr>
      <w:r>
        <w:rPr>
          <w:rFonts w:hint="eastAsia" w:ascii="仿宋" w:hAnsi="仿宋" w:eastAsia="仿宋" w:cs="仿宋"/>
          <w:color w:val="auto"/>
          <w:highlight w:val="none"/>
        </w:rPr>
        <w:t>项目名称：</w:t>
      </w:r>
    </w:p>
    <w:p w14:paraId="1F3AD053">
      <w:pPr>
        <w:rPr>
          <w:rFonts w:hint="eastAsia" w:ascii="仿宋" w:hAnsi="仿宋" w:eastAsia="仿宋" w:cs="仿宋"/>
          <w:color w:val="auto"/>
          <w:highlight w:val="none"/>
        </w:rPr>
      </w:pPr>
      <w:r>
        <w:rPr>
          <w:rFonts w:hint="eastAsia" w:ascii="仿宋" w:hAnsi="仿宋" w:eastAsia="仿宋" w:cs="仿宋"/>
          <w:color w:val="auto"/>
          <w:highlight w:val="none"/>
        </w:rPr>
        <w:t>项目编号：</w:t>
      </w:r>
    </w:p>
    <w:p w14:paraId="4FAFFE97">
      <w:pPr>
        <w:rPr>
          <w:rFonts w:hint="eastAsia" w:ascii="仿宋" w:hAnsi="仿宋" w:eastAsia="仿宋" w:cs="仿宋"/>
          <w:color w:val="auto"/>
          <w:highlight w:val="none"/>
        </w:rPr>
      </w:pPr>
    </w:p>
    <w:p w14:paraId="453979F8">
      <w:pPr>
        <w:rPr>
          <w:rFonts w:hint="eastAsia" w:ascii="仿宋" w:hAnsi="仿宋" w:eastAsia="仿宋" w:cs="仿宋"/>
          <w:color w:val="auto"/>
          <w:highlight w:val="none"/>
        </w:rPr>
      </w:pPr>
    </w:p>
    <w:p w14:paraId="4292AF89">
      <w:pPr>
        <w:rPr>
          <w:rFonts w:hint="eastAsia" w:ascii="仿宋" w:hAnsi="仿宋" w:eastAsia="仿宋" w:cs="仿宋"/>
          <w:color w:val="auto"/>
          <w:highlight w:val="none"/>
        </w:rPr>
      </w:pPr>
    </w:p>
    <w:p w14:paraId="2095598A">
      <w:pPr>
        <w:rPr>
          <w:rFonts w:hint="eastAsia" w:ascii="仿宋" w:hAnsi="仿宋" w:eastAsia="仿宋" w:cs="仿宋"/>
          <w:color w:val="auto"/>
          <w:highlight w:val="none"/>
        </w:rPr>
      </w:pPr>
    </w:p>
    <w:p w14:paraId="63BF6E56">
      <w:pPr>
        <w:rPr>
          <w:rFonts w:hint="eastAsia" w:ascii="仿宋" w:hAnsi="仿宋" w:eastAsia="仿宋" w:cs="仿宋"/>
          <w:color w:val="auto"/>
          <w:highlight w:val="none"/>
        </w:rPr>
      </w:pPr>
    </w:p>
    <w:p w14:paraId="56E0B2E2">
      <w:pPr>
        <w:rPr>
          <w:rFonts w:hint="eastAsia" w:ascii="仿宋" w:hAnsi="仿宋" w:eastAsia="仿宋" w:cs="仿宋"/>
          <w:color w:val="auto"/>
          <w:highlight w:val="none"/>
        </w:rPr>
      </w:pPr>
    </w:p>
    <w:tbl>
      <w:tblPr>
        <w:tblStyle w:val="22"/>
        <w:tblpPr w:leftFromText="180" w:rightFromText="180" w:vertAnchor="page" w:horzAnchor="page" w:tblpXSpec="center" w:tblpY="3267"/>
        <w:tblOverlap w:val="never"/>
        <w:tblW w:w="9237" w:type="dxa"/>
        <w:jc w:val="center"/>
        <w:tblLayout w:type="fixed"/>
        <w:tblCellMar>
          <w:top w:w="0" w:type="dxa"/>
          <w:left w:w="108" w:type="dxa"/>
          <w:bottom w:w="0" w:type="dxa"/>
          <w:right w:w="108" w:type="dxa"/>
        </w:tblCellMar>
      </w:tblPr>
      <w:tblGrid>
        <w:gridCol w:w="862"/>
        <w:gridCol w:w="2820"/>
        <w:gridCol w:w="2691"/>
        <w:gridCol w:w="1961"/>
        <w:gridCol w:w="903"/>
      </w:tblGrid>
      <w:tr w14:paraId="02C1F04B">
        <w:tblPrEx>
          <w:tblCellMar>
            <w:top w:w="0" w:type="dxa"/>
            <w:left w:w="108" w:type="dxa"/>
            <w:bottom w:w="0" w:type="dxa"/>
            <w:right w:w="108" w:type="dxa"/>
          </w:tblCellMar>
        </w:tblPrEx>
        <w:trPr>
          <w:trHeight w:val="657"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79A82648">
            <w:pPr>
              <w:ind w:left="107"/>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序号</w:t>
            </w: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4FC15D4B">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征集文件要求部分</w:t>
            </w: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E9E1ED3">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响应文件的响应部分</w:t>
            </w: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7E76E71">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响应/偏离</w:t>
            </w: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5193BCAA">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说明</w:t>
            </w:r>
          </w:p>
        </w:tc>
      </w:tr>
      <w:tr w14:paraId="23982C6F">
        <w:tblPrEx>
          <w:tblCellMar>
            <w:top w:w="0" w:type="dxa"/>
            <w:left w:w="108" w:type="dxa"/>
            <w:bottom w:w="0" w:type="dxa"/>
            <w:right w:w="108" w:type="dxa"/>
          </w:tblCellMar>
        </w:tblPrEx>
        <w:trPr>
          <w:trHeight w:val="924"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632B0D8">
            <w:pPr>
              <w:spacing w:line="662" w:lineRule="exact"/>
              <w:ind w:left="280"/>
              <w:rPr>
                <w:rFonts w:hint="eastAsia" w:ascii="仿宋" w:hAnsi="仿宋" w:eastAsia="仿宋" w:cs="仿宋"/>
                <w:color w:val="auto"/>
                <w:highlight w:val="none"/>
              </w:rPr>
            </w:pP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53E005B5">
            <w:pPr>
              <w:spacing w:line="662" w:lineRule="exact"/>
              <w:ind w:left="280"/>
              <w:rPr>
                <w:rFonts w:hint="eastAsia" w:ascii="仿宋" w:hAnsi="仿宋" w:eastAsia="仿宋" w:cs="仿宋"/>
                <w:color w:val="auto"/>
                <w:highlight w:val="none"/>
              </w:rPr>
            </w:pP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6680D04">
            <w:pPr>
              <w:spacing w:line="662" w:lineRule="exact"/>
              <w:ind w:left="280"/>
              <w:rPr>
                <w:rFonts w:hint="eastAsia" w:ascii="仿宋" w:hAnsi="仿宋" w:eastAsia="仿宋" w:cs="仿宋"/>
                <w:color w:val="auto"/>
                <w:highlight w:val="none"/>
              </w:rPr>
            </w:pP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5422E7F9">
            <w:pPr>
              <w:spacing w:line="662" w:lineRule="exact"/>
              <w:ind w:left="280"/>
              <w:rPr>
                <w:rFonts w:hint="eastAsia" w:ascii="仿宋" w:hAnsi="仿宋" w:eastAsia="仿宋" w:cs="仿宋"/>
                <w:color w:val="auto"/>
                <w:highlight w:val="none"/>
              </w:rPr>
            </w:pP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2B418425">
            <w:pPr>
              <w:spacing w:line="662" w:lineRule="exact"/>
              <w:ind w:left="280"/>
              <w:rPr>
                <w:rFonts w:hint="eastAsia" w:ascii="仿宋" w:hAnsi="仿宋" w:eastAsia="仿宋" w:cs="仿宋"/>
                <w:color w:val="auto"/>
                <w:highlight w:val="none"/>
              </w:rPr>
            </w:pPr>
          </w:p>
        </w:tc>
      </w:tr>
      <w:tr w14:paraId="3F821F95">
        <w:tblPrEx>
          <w:tblCellMar>
            <w:top w:w="0" w:type="dxa"/>
            <w:left w:w="108" w:type="dxa"/>
            <w:bottom w:w="0" w:type="dxa"/>
            <w:right w:w="108" w:type="dxa"/>
          </w:tblCellMar>
        </w:tblPrEx>
        <w:trPr>
          <w:trHeight w:val="1028" w:hRule="exact"/>
          <w:jc w:val="center"/>
        </w:trPr>
        <w:tc>
          <w:tcPr>
            <w:tcW w:w="86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0D903FC">
            <w:pPr>
              <w:spacing w:line="662" w:lineRule="exact"/>
              <w:ind w:left="280"/>
              <w:rPr>
                <w:rFonts w:hint="eastAsia" w:ascii="仿宋" w:hAnsi="仿宋" w:eastAsia="仿宋" w:cs="仿宋"/>
                <w:color w:val="auto"/>
                <w:highlight w:val="none"/>
              </w:rPr>
            </w:pPr>
          </w:p>
        </w:tc>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6266234C">
            <w:pPr>
              <w:spacing w:line="662" w:lineRule="exact"/>
              <w:ind w:left="280"/>
              <w:rPr>
                <w:rFonts w:hint="eastAsia" w:ascii="仿宋" w:hAnsi="仿宋" w:eastAsia="仿宋" w:cs="仿宋"/>
                <w:color w:val="auto"/>
                <w:highlight w:val="none"/>
              </w:rPr>
            </w:pPr>
          </w:p>
        </w:tc>
        <w:tc>
          <w:tcPr>
            <w:tcW w:w="269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10BAD527">
            <w:pPr>
              <w:spacing w:line="662" w:lineRule="exact"/>
              <w:ind w:left="280"/>
              <w:rPr>
                <w:rFonts w:hint="eastAsia" w:ascii="仿宋" w:hAnsi="仿宋" w:eastAsia="仿宋" w:cs="仿宋"/>
                <w:color w:val="auto"/>
                <w:highlight w:val="none"/>
              </w:rPr>
            </w:pPr>
          </w:p>
        </w:tc>
        <w:tc>
          <w:tcPr>
            <w:tcW w:w="196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3E6F7F8D">
            <w:pPr>
              <w:spacing w:line="662" w:lineRule="exact"/>
              <w:ind w:left="280"/>
              <w:rPr>
                <w:rFonts w:hint="eastAsia" w:ascii="仿宋" w:hAnsi="仿宋" w:eastAsia="仿宋" w:cs="仿宋"/>
                <w:color w:val="auto"/>
                <w:highlight w:val="none"/>
              </w:rPr>
            </w:pPr>
          </w:p>
        </w:tc>
        <w:tc>
          <w:tcPr>
            <w:tcW w:w="903"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tcPr>
          <w:p w14:paraId="7C5AA53F">
            <w:pPr>
              <w:spacing w:line="662" w:lineRule="exact"/>
              <w:ind w:left="280"/>
              <w:rPr>
                <w:rFonts w:hint="eastAsia" w:ascii="仿宋" w:hAnsi="仿宋" w:eastAsia="仿宋" w:cs="仿宋"/>
                <w:color w:val="auto"/>
                <w:highlight w:val="none"/>
              </w:rPr>
            </w:pPr>
          </w:p>
        </w:tc>
      </w:tr>
    </w:tbl>
    <w:p w14:paraId="73C77DD9">
      <w:pPr>
        <w:ind w:right="26"/>
        <w:jc w:val="both"/>
        <w:rPr>
          <w:rFonts w:hint="eastAsia" w:ascii="仿宋" w:hAnsi="仿宋" w:eastAsia="仿宋" w:cs="仿宋"/>
          <w:color w:val="auto"/>
          <w:szCs w:val="24"/>
          <w:highlight w:val="none"/>
        </w:rPr>
      </w:pPr>
    </w:p>
    <w:p w14:paraId="2AE07AE9">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23AEE62E">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4008120">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日期：    年  月  日 </w:t>
      </w:r>
    </w:p>
    <w:p w14:paraId="65C55CC4">
      <w:pPr>
        <w:spacing w:line="20" w:lineRule="exact"/>
        <w:rPr>
          <w:rFonts w:hint="eastAsia" w:ascii="仿宋" w:hAnsi="仿宋" w:eastAsia="仿宋" w:cs="仿宋"/>
          <w:color w:val="auto"/>
          <w:sz w:val="20"/>
          <w:szCs w:val="20"/>
          <w:highlight w:val="none"/>
        </w:rPr>
      </w:pPr>
    </w:p>
    <w:p w14:paraId="5671A0A8">
      <w:pPr>
        <w:spacing w:line="421" w:lineRule="exact"/>
        <w:ind w:left="360"/>
        <w:rPr>
          <w:rFonts w:hint="eastAsia" w:ascii="仿宋" w:hAnsi="仿宋" w:eastAsia="仿宋" w:cs="仿宋"/>
          <w:color w:val="auto"/>
          <w:highlight w:val="none"/>
        </w:rPr>
      </w:pPr>
      <w:bookmarkStart w:id="53" w:name="OLE_LINK3"/>
      <w:r>
        <w:rPr>
          <w:rFonts w:hint="eastAsia" w:ascii="仿宋" w:hAnsi="仿宋" w:eastAsia="仿宋" w:cs="仿宋"/>
          <w:color w:val="auto"/>
          <w:highlight w:val="none"/>
        </w:rPr>
        <w:t>注：1、</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应对照征集文件项目需求所提供的服务已对征集文件的技术规范做出了响应或偏离。</w:t>
      </w:r>
    </w:p>
    <w:p w14:paraId="75CCC123">
      <w:pPr>
        <w:numPr>
          <w:ilvl w:val="0"/>
          <w:numId w:val="8"/>
        </w:numPr>
        <w:spacing w:line="421" w:lineRule="exact"/>
        <w:ind w:left="480" w:leftChars="200"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所供服务如与征集文件要求不一致，则需在上表说明栏中注明</w:t>
      </w:r>
      <w:r>
        <w:rPr>
          <w:rFonts w:hint="eastAsia" w:ascii="仿宋" w:hAnsi="仿宋" w:eastAsia="仿宋" w:cs="仿宋"/>
          <w:color w:val="auto"/>
          <w:highlight w:val="none"/>
          <w:lang w:eastAsia="zh-CN"/>
        </w:rPr>
        <w:t>。</w:t>
      </w:r>
    </w:p>
    <w:p w14:paraId="10E47276">
      <w:pPr>
        <w:numPr>
          <w:ilvl w:val="0"/>
          <w:numId w:val="8"/>
        </w:numPr>
        <w:spacing w:line="421" w:lineRule="exact"/>
        <w:ind w:left="480" w:leftChars="20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如未按要求填写，产生的一切后果由</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负责。</w:t>
      </w:r>
      <w:bookmarkEnd w:id="53"/>
    </w:p>
    <w:p w14:paraId="091AEC4A">
      <w:pPr>
        <w:pStyle w:val="3"/>
        <w:rPr>
          <w:rFonts w:hint="eastAsia" w:ascii="仿宋" w:hAnsi="仿宋" w:eastAsia="仿宋" w:cs="仿宋"/>
          <w:color w:val="auto"/>
          <w:highlight w:val="none"/>
        </w:rPr>
      </w:pPr>
    </w:p>
    <w:p w14:paraId="05123F18">
      <w:pPr>
        <w:rPr>
          <w:rFonts w:hint="eastAsia" w:ascii="仿宋" w:hAnsi="仿宋" w:eastAsia="仿宋" w:cs="仿宋"/>
          <w:color w:val="auto"/>
          <w:highlight w:val="none"/>
        </w:rPr>
      </w:pPr>
    </w:p>
    <w:p w14:paraId="6329F75F">
      <w:pPr>
        <w:rPr>
          <w:rFonts w:hint="eastAsia" w:ascii="仿宋" w:hAnsi="仿宋" w:eastAsia="仿宋" w:cs="仿宋"/>
          <w:color w:val="auto"/>
          <w:highlight w:val="none"/>
        </w:rPr>
      </w:pPr>
    </w:p>
    <w:p w14:paraId="7A592114">
      <w:pPr>
        <w:rPr>
          <w:rFonts w:hint="eastAsia" w:ascii="仿宋" w:hAnsi="仿宋" w:eastAsia="仿宋" w:cs="仿宋"/>
          <w:color w:val="auto"/>
          <w:highlight w:val="none"/>
        </w:rPr>
      </w:pPr>
    </w:p>
    <w:p w14:paraId="298A210E">
      <w:pPr>
        <w:rPr>
          <w:rFonts w:hint="eastAsia" w:ascii="仿宋" w:hAnsi="仿宋" w:eastAsia="仿宋" w:cs="仿宋"/>
          <w:color w:val="auto"/>
          <w:highlight w:val="none"/>
        </w:rPr>
      </w:pPr>
    </w:p>
    <w:p w14:paraId="3B498146">
      <w:pPr>
        <w:rPr>
          <w:rFonts w:hint="eastAsia" w:ascii="仿宋" w:hAnsi="仿宋" w:eastAsia="仿宋" w:cs="仿宋"/>
          <w:color w:val="auto"/>
          <w:highlight w:val="none"/>
        </w:rPr>
      </w:pPr>
    </w:p>
    <w:p w14:paraId="0D784206">
      <w:pPr>
        <w:rPr>
          <w:rFonts w:hint="eastAsia" w:ascii="仿宋" w:hAnsi="仿宋" w:eastAsia="仿宋" w:cs="仿宋"/>
          <w:color w:val="auto"/>
          <w:highlight w:val="none"/>
        </w:rPr>
      </w:pPr>
    </w:p>
    <w:p w14:paraId="35459D79">
      <w:pPr>
        <w:rPr>
          <w:rFonts w:hint="eastAsia" w:ascii="仿宋" w:hAnsi="仿宋" w:eastAsia="仿宋" w:cs="仿宋"/>
          <w:color w:val="auto"/>
          <w:highlight w:val="none"/>
        </w:rPr>
      </w:pPr>
    </w:p>
    <w:p w14:paraId="466D245B">
      <w:pPr>
        <w:rPr>
          <w:rFonts w:hint="eastAsia" w:ascii="仿宋" w:hAnsi="仿宋" w:eastAsia="仿宋" w:cs="仿宋"/>
          <w:color w:val="auto"/>
          <w:highlight w:val="none"/>
        </w:rPr>
      </w:pPr>
    </w:p>
    <w:p w14:paraId="5040BB66">
      <w:pPr>
        <w:rPr>
          <w:rFonts w:hint="eastAsia" w:ascii="仿宋" w:hAnsi="仿宋" w:eastAsia="仿宋" w:cs="仿宋"/>
          <w:color w:val="auto"/>
          <w:highlight w:val="none"/>
        </w:rPr>
      </w:pPr>
    </w:p>
    <w:p w14:paraId="33AEC810">
      <w:pPr>
        <w:pStyle w:val="3"/>
        <w:rPr>
          <w:rFonts w:hint="eastAsia" w:ascii="仿宋" w:hAnsi="仿宋" w:eastAsia="仿宋" w:cs="仿宋"/>
          <w:color w:val="auto"/>
          <w:sz w:val="24"/>
          <w:szCs w:val="24"/>
          <w:highlight w:val="none"/>
        </w:rPr>
      </w:pPr>
      <w:r>
        <w:rPr>
          <w:rFonts w:hint="eastAsia" w:cs="仿宋"/>
          <w:color w:val="auto"/>
          <w:highlight w:val="none"/>
          <w:lang w:val="en-US" w:eastAsia="zh-CN"/>
        </w:rPr>
        <w:t>4</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的资格声明</w:t>
      </w:r>
      <w:r>
        <w:rPr>
          <w:rFonts w:hint="eastAsia" w:ascii="仿宋" w:hAnsi="仿宋" w:eastAsia="仿宋" w:cs="仿宋"/>
          <w:color w:val="auto"/>
          <w:sz w:val="30"/>
          <w:szCs w:val="30"/>
          <w:highlight w:val="none"/>
        </w:rPr>
        <w:t>*</w:t>
      </w:r>
    </w:p>
    <w:p w14:paraId="2C02937E">
      <w:pPr>
        <w:pStyle w:val="4"/>
        <w:spacing w:before="120" w:after="120"/>
        <w:rPr>
          <w:rFonts w:hint="eastAsia" w:ascii="仿宋" w:hAnsi="仿宋" w:eastAsia="仿宋" w:cs="仿宋"/>
          <w:color w:val="auto"/>
          <w:highlight w:val="none"/>
        </w:rPr>
      </w:pPr>
      <w:bookmarkStart w:id="54" w:name="_Toc6517_WPSOffice_Level2"/>
      <w:r>
        <w:rPr>
          <w:rFonts w:hint="eastAsia" w:cs="仿宋"/>
          <w:color w:val="auto"/>
          <w:highlight w:val="none"/>
          <w:lang w:val="en-US" w:eastAsia="zh-CN"/>
        </w:rPr>
        <w:t>4</w:t>
      </w:r>
      <w:r>
        <w:rPr>
          <w:rFonts w:hint="eastAsia" w:ascii="仿宋" w:hAnsi="仿宋" w:eastAsia="仿宋" w:cs="仿宋"/>
          <w:color w:val="auto"/>
          <w:highlight w:val="none"/>
        </w:rPr>
        <w:t xml:space="preserve">-1 </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的资格声明</w:t>
      </w:r>
    </w:p>
    <w:p w14:paraId="1D8F8E95">
      <w:pPr>
        <w:rPr>
          <w:rFonts w:hint="eastAsia" w:ascii="仿宋" w:hAnsi="仿宋" w:eastAsia="仿宋" w:cs="仿宋"/>
          <w:color w:val="auto"/>
          <w:sz w:val="20"/>
          <w:szCs w:val="20"/>
          <w:highlight w:val="none"/>
        </w:rPr>
      </w:pPr>
      <w:r>
        <w:rPr>
          <w:rFonts w:hint="eastAsia" w:ascii="仿宋" w:hAnsi="仿宋" w:eastAsia="仿宋" w:cs="仿宋"/>
          <w:b/>
          <w:bCs/>
          <w:color w:val="auto"/>
          <w:sz w:val="28"/>
          <w:szCs w:val="28"/>
          <w:highlight w:val="none"/>
        </w:rPr>
        <w:t>致：</w:t>
      </w:r>
      <w:bookmarkEnd w:id="54"/>
      <w:r>
        <w:rPr>
          <w:rFonts w:hint="eastAsia" w:ascii="仿宋" w:hAnsi="仿宋" w:eastAsia="仿宋" w:cs="仿宋"/>
          <w:b/>
          <w:bCs/>
          <w:color w:val="auto"/>
          <w:sz w:val="28"/>
          <w:szCs w:val="28"/>
          <w:highlight w:val="none"/>
        </w:rPr>
        <w:t>吉安城投建设监理有限公司</w:t>
      </w:r>
    </w:p>
    <w:p w14:paraId="2945A8A9">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我们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eastAsia="zh-CN"/>
        </w:rPr>
        <w:t>服务商</w:t>
      </w:r>
      <w:r>
        <w:rPr>
          <w:rFonts w:hint="eastAsia" w:ascii="仿宋" w:hAnsi="仿宋" w:eastAsia="仿宋" w:cs="仿宋"/>
          <w:color w:val="auto"/>
          <w:highlight w:val="none"/>
          <w:u w:val="single"/>
        </w:rPr>
        <w:t xml:space="preserve">全称）   </w:t>
      </w:r>
      <w:r>
        <w:rPr>
          <w:rFonts w:hint="eastAsia" w:ascii="仿宋" w:hAnsi="仿宋" w:eastAsia="仿宋" w:cs="仿宋"/>
          <w:color w:val="auto"/>
          <w:highlight w:val="none"/>
        </w:rPr>
        <w:t>愿意对“（项目编号：）”进行</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。并在此声明，响应文件中所有关于</w:t>
      </w:r>
      <w:r>
        <w:rPr>
          <w:rFonts w:hint="eastAsia" w:ascii="仿宋" w:hAnsi="仿宋" w:eastAsia="仿宋" w:cs="仿宋"/>
          <w:color w:val="auto"/>
          <w:highlight w:val="none"/>
          <w:lang w:eastAsia="zh-CN"/>
        </w:rPr>
        <w:t>服务商</w:t>
      </w:r>
      <w:r>
        <w:rPr>
          <w:rFonts w:hint="eastAsia" w:ascii="仿宋" w:hAnsi="仿宋" w:eastAsia="仿宋" w:cs="仿宋"/>
          <w:color w:val="auto"/>
          <w:highlight w:val="none"/>
        </w:rPr>
        <w:t>资格的文件材料、证明、陈述均是真实、准确的。如果发现此类文件材料、证明、陈述与事实不符，我方将承担由此而产生的一切后果，并声明参加采购活动前三年内，在经营活动中没有重大违法记录。</w:t>
      </w:r>
    </w:p>
    <w:p w14:paraId="6D4D496C">
      <w:pPr>
        <w:rPr>
          <w:rFonts w:hint="eastAsia" w:ascii="仿宋" w:hAnsi="仿宋" w:eastAsia="仿宋" w:cs="仿宋"/>
          <w:color w:val="auto"/>
          <w:highlight w:val="none"/>
        </w:rPr>
      </w:pPr>
    </w:p>
    <w:p w14:paraId="6059CCCF">
      <w:pPr>
        <w:spacing w:line="274" w:lineRule="exact"/>
        <w:ind w:left="480"/>
        <w:rPr>
          <w:rFonts w:hint="eastAsia" w:ascii="仿宋" w:hAnsi="仿宋" w:eastAsia="仿宋" w:cs="仿宋"/>
          <w:color w:val="auto"/>
          <w:sz w:val="20"/>
          <w:szCs w:val="20"/>
          <w:highlight w:val="none"/>
        </w:rPr>
      </w:pPr>
      <w:r>
        <w:rPr>
          <w:rFonts w:hint="eastAsia" w:ascii="仿宋" w:hAnsi="仿宋" w:eastAsia="仿宋" w:cs="仿宋"/>
          <w:color w:val="auto"/>
          <w:highlight w:val="none"/>
        </w:rPr>
        <w:t>特此声明!</w:t>
      </w:r>
    </w:p>
    <w:p w14:paraId="0E2C6670">
      <w:pPr>
        <w:spacing w:line="200" w:lineRule="exact"/>
        <w:rPr>
          <w:rFonts w:hint="eastAsia" w:ascii="仿宋" w:hAnsi="仿宋" w:eastAsia="仿宋" w:cs="仿宋"/>
          <w:color w:val="auto"/>
          <w:sz w:val="20"/>
          <w:szCs w:val="20"/>
          <w:highlight w:val="none"/>
        </w:rPr>
      </w:pPr>
    </w:p>
    <w:p w14:paraId="39CAF44D">
      <w:pPr>
        <w:rPr>
          <w:rFonts w:hint="eastAsia" w:ascii="仿宋" w:hAnsi="仿宋" w:eastAsia="仿宋" w:cs="仿宋"/>
          <w:b/>
          <w:bCs/>
          <w:color w:val="auto"/>
          <w:sz w:val="30"/>
          <w:szCs w:val="30"/>
          <w:highlight w:val="none"/>
        </w:rPr>
      </w:pPr>
    </w:p>
    <w:p w14:paraId="7776A52D">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4354306F">
      <w:pPr>
        <w:ind w:right="26"/>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068671B">
      <w:pPr>
        <w:rPr>
          <w:rFonts w:hint="eastAsia" w:ascii="仿宋" w:hAnsi="仿宋" w:eastAsia="仿宋" w:cs="仿宋"/>
          <w:color w:val="auto"/>
          <w:szCs w:val="24"/>
          <w:highlight w:val="none"/>
        </w:rPr>
        <w:sectPr>
          <w:headerReference r:id="rId12" w:type="default"/>
          <w:footerReference r:id="rId13" w:type="default"/>
          <w:pgSz w:w="11900" w:h="16838"/>
          <w:pgMar w:top="1440" w:right="1440" w:bottom="1440" w:left="1440" w:header="737" w:footer="454" w:gutter="0"/>
          <w:cols w:space="0" w:num="1"/>
        </w:sectPr>
      </w:pPr>
      <w:r>
        <w:rPr>
          <w:rFonts w:hint="eastAsia" w:ascii="仿宋" w:hAnsi="仿宋" w:eastAsia="仿宋" w:cs="仿宋"/>
          <w:color w:val="auto"/>
          <w:szCs w:val="24"/>
          <w:highlight w:val="none"/>
        </w:rPr>
        <w:t xml:space="preserve">日期：    年  月  日 </w:t>
      </w:r>
    </w:p>
    <w:p w14:paraId="61ED8B86">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4</w:t>
      </w:r>
      <w:r>
        <w:rPr>
          <w:rFonts w:hint="eastAsia" w:ascii="仿宋" w:hAnsi="仿宋" w:eastAsia="仿宋" w:cs="仿宋"/>
          <w:color w:val="auto"/>
          <w:highlight w:val="none"/>
        </w:rPr>
        <w:t>-2 法定代表人授权书</w:t>
      </w:r>
    </w:p>
    <w:p w14:paraId="510A0D0D">
      <w:pPr>
        <w:ind w:right="474"/>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致：吉安城投建设监理有限公司：</w:t>
      </w:r>
    </w:p>
    <w:p w14:paraId="3367329A">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兹授权同志为我公司参加贵单位组织的</w:t>
      </w:r>
      <w:r>
        <w:rPr>
          <w:rFonts w:hint="eastAsia" w:ascii="仿宋" w:hAnsi="仿宋" w:eastAsia="仿宋" w:cs="仿宋"/>
          <w:color w:val="auto"/>
          <w:szCs w:val="24"/>
          <w:highlight w:val="none"/>
          <w:u w:val="single"/>
        </w:rPr>
        <w:t xml:space="preserve">     （项目名称）              </w:t>
      </w:r>
      <w:r>
        <w:rPr>
          <w:rFonts w:hint="eastAsia" w:ascii="仿宋" w:hAnsi="仿宋" w:eastAsia="仿宋" w:cs="仿宋"/>
          <w:color w:val="auto"/>
          <w:szCs w:val="24"/>
          <w:highlight w:val="none"/>
        </w:rPr>
        <w:t>采购活动的</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代表人，全权代表我公司处理在该项目采购活动中的一切事宜。代理期限从     年   月   日起至     年   月   日止（代理期限从</w:t>
      </w:r>
      <w:r>
        <w:rPr>
          <w:rFonts w:hint="eastAsia" w:ascii="仿宋" w:hAnsi="仿宋" w:eastAsia="仿宋" w:cs="仿宋"/>
          <w:color w:val="auto"/>
          <w:szCs w:val="24"/>
          <w:highlight w:val="none"/>
          <w:lang w:eastAsia="zh-CN"/>
        </w:rPr>
        <w:t>征集</w:t>
      </w:r>
      <w:r>
        <w:rPr>
          <w:rFonts w:hint="eastAsia" w:ascii="仿宋" w:hAnsi="仿宋" w:eastAsia="仿宋" w:cs="仿宋"/>
          <w:color w:val="auto"/>
          <w:szCs w:val="24"/>
          <w:highlight w:val="none"/>
        </w:rPr>
        <w:t xml:space="preserve">之日起不得少于90个日历日）。 </w:t>
      </w:r>
    </w:p>
    <w:p w14:paraId="28107AE5">
      <w:pPr>
        <w:spacing w:line="274" w:lineRule="exact"/>
        <w:rPr>
          <w:rFonts w:hint="eastAsia" w:ascii="仿宋" w:hAnsi="仿宋" w:eastAsia="仿宋" w:cs="仿宋"/>
          <w:color w:val="auto"/>
          <w:highlight w:val="none"/>
        </w:rPr>
      </w:pPr>
    </w:p>
    <w:p w14:paraId="5461F5A9">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法定代表人签字（盖章）：</w:t>
      </w:r>
    </w:p>
    <w:p w14:paraId="090E091F">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被授权人签字（盖章）：</w:t>
      </w:r>
    </w:p>
    <w:p w14:paraId="6D7C7A6B">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单位公章：</w:t>
      </w:r>
    </w:p>
    <w:p w14:paraId="39E078CD">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被授权人签字：</w:t>
      </w:r>
    </w:p>
    <w:p w14:paraId="7BD90849">
      <w:pPr>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签发日期：</w:t>
      </w:r>
    </w:p>
    <w:p w14:paraId="5851E4DE">
      <w:pPr>
        <w:spacing w:line="274" w:lineRule="exact"/>
        <w:rPr>
          <w:rFonts w:hint="eastAsia" w:ascii="仿宋" w:hAnsi="仿宋" w:eastAsia="仿宋" w:cs="仿宋"/>
          <w:color w:val="auto"/>
          <w:highlight w:val="none"/>
        </w:rPr>
      </w:pPr>
    </w:p>
    <w:tbl>
      <w:tblPr>
        <w:tblStyle w:val="22"/>
        <w:tblW w:w="0" w:type="auto"/>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4"/>
      </w:tblGrid>
      <w:tr w14:paraId="28B1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9" w:hRule="atLeast"/>
        </w:trPr>
        <w:tc>
          <w:tcPr>
            <w:tcW w:w="8874" w:type="dxa"/>
            <w:noWrap/>
          </w:tcPr>
          <w:p w14:paraId="687C6FC6">
            <w:pPr>
              <w:spacing w:line="276" w:lineRule="auto"/>
              <w:ind w:left="44"/>
              <w:rPr>
                <w:rFonts w:hint="eastAsia" w:ascii="仿宋" w:hAnsi="仿宋" w:eastAsia="仿宋" w:cs="仿宋"/>
                <w:bCs/>
                <w:color w:val="auto"/>
                <w:szCs w:val="24"/>
                <w:highlight w:val="none"/>
                <w:u w:val="single"/>
              </w:rPr>
            </w:pPr>
            <w:r>
              <w:rPr>
                <w:rFonts w:hint="eastAsia" w:ascii="仿宋" w:hAnsi="仿宋" w:eastAsia="仿宋" w:cs="仿宋"/>
                <w:bCs/>
                <w:color w:val="auto"/>
                <w:szCs w:val="24"/>
                <w:highlight w:val="none"/>
              </w:rPr>
              <w:t>法定代表人身份证正反面粘贴处：</w:t>
            </w:r>
          </w:p>
          <w:p w14:paraId="271D73A4">
            <w:pPr>
              <w:spacing w:line="276" w:lineRule="auto"/>
              <w:ind w:left="44"/>
              <w:rPr>
                <w:rFonts w:hint="eastAsia" w:ascii="仿宋" w:hAnsi="仿宋" w:eastAsia="仿宋" w:cs="仿宋"/>
                <w:bCs/>
                <w:color w:val="auto"/>
                <w:szCs w:val="24"/>
                <w:highlight w:val="none"/>
                <w:u w:val="single"/>
              </w:rPr>
            </w:pPr>
          </w:p>
          <w:p w14:paraId="4535664D">
            <w:pPr>
              <w:pStyle w:val="9"/>
              <w:tabs>
                <w:tab w:val="left" w:pos="567"/>
              </w:tabs>
              <w:rPr>
                <w:rFonts w:hint="eastAsia" w:ascii="仿宋" w:hAnsi="仿宋" w:eastAsia="仿宋" w:cs="仿宋"/>
                <w:color w:val="auto"/>
                <w:highlight w:val="none"/>
              </w:rPr>
            </w:pPr>
          </w:p>
          <w:p w14:paraId="6D659983">
            <w:pPr>
              <w:pStyle w:val="9"/>
              <w:tabs>
                <w:tab w:val="left" w:pos="567"/>
              </w:tabs>
              <w:rPr>
                <w:rFonts w:hint="eastAsia" w:ascii="仿宋" w:hAnsi="仿宋" w:eastAsia="仿宋" w:cs="仿宋"/>
                <w:color w:val="auto"/>
                <w:highlight w:val="none"/>
              </w:rPr>
            </w:pPr>
          </w:p>
          <w:p w14:paraId="74A1AD0C">
            <w:pPr>
              <w:pStyle w:val="9"/>
              <w:tabs>
                <w:tab w:val="left" w:pos="567"/>
              </w:tabs>
              <w:ind w:left="0"/>
              <w:rPr>
                <w:rFonts w:hint="eastAsia" w:ascii="仿宋" w:hAnsi="仿宋" w:eastAsia="仿宋" w:cs="仿宋"/>
                <w:color w:val="auto"/>
                <w:highlight w:val="none"/>
              </w:rPr>
            </w:pPr>
          </w:p>
          <w:p w14:paraId="10FF416B">
            <w:pPr>
              <w:pStyle w:val="9"/>
              <w:tabs>
                <w:tab w:val="left" w:pos="567"/>
              </w:tabs>
              <w:rPr>
                <w:rFonts w:hint="eastAsia" w:ascii="仿宋" w:hAnsi="仿宋" w:eastAsia="仿宋" w:cs="仿宋"/>
                <w:color w:val="auto"/>
                <w:highlight w:val="none"/>
              </w:rPr>
            </w:pPr>
          </w:p>
          <w:p w14:paraId="13EF8124">
            <w:pPr>
              <w:spacing w:line="276" w:lineRule="auto"/>
              <w:ind w:left="44"/>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被授权人身份证正反面粘贴处：</w:t>
            </w:r>
          </w:p>
          <w:p w14:paraId="5BEBE304">
            <w:pPr>
              <w:spacing w:line="276" w:lineRule="auto"/>
              <w:ind w:left="44"/>
              <w:rPr>
                <w:rFonts w:hint="eastAsia" w:ascii="仿宋" w:hAnsi="仿宋" w:eastAsia="仿宋" w:cs="仿宋"/>
                <w:bCs/>
                <w:color w:val="auto"/>
                <w:szCs w:val="24"/>
                <w:highlight w:val="none"/>
                <w:u w:val="single"/>
              </w:rPr>
            </w:pPr>
          </w:p>
        </w:tc>
      </w:tr>
    </w:tbl>
    <w:p w14:paraId="3C70B6DC">
      <w:pPr>
        <w:pStyle w:val="44"/>
        <w:ind w:firstLine="0" w:firstLineChars="0"/>
        <w:rPr>
          <w:rFonts w:hint="eastAsia" w:ascii="仿宋" w:hAnsi="仿宋" w:eastAsia="仿宋" w:cs="仿宋"/>
          <w:b/>
          <w:color w:val="auto"/>
          <w:sz w:val="24"/>
          <w:highlight w:val="none"/>
        </w:rPr>
      </w:pPr>
    </w:p>
    <w:p w14:paraId="588E2C08">
      <w:pPr>
        <w:pStyle w:val="44"/>
        <w:ind w:firstLine="0" w:firstLineChars="0"/>
        <w:rPr>
          <w:rFonts w:hint="eastAsia" w:ascii="仿宋" w:hAnsi="仿宋" w:eastAsia="仿宋" w:cs="仿宋"/>
          <w:b/>
          <w:color w:val="auto"/>
          <w:sz w:val="24"/>
          <w:highlight w:val="none"/>
        </w:rPr>
        <w:sectPr>
          <w:pgSz w:w="11900" w:h="16838"/>
          <w:pgMar w:top="1440" w:right="1440" w:bottom="1440" w:left="1440" w:header="737" w:footer="454" w:gutter="0"/>
          <w:cols w:space="0" w:num="1"/>
        </w:sectPr>
      </w:pPr>
    </w:p>
    <w:p w14:paraId="6F85F702">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4</w:t>
      </w:r>
      <w:r>
        <w:rPr>
          <w:rFonts w:hint="eastAsia" w:ascii="仿宋" w:hAnsi="仿宋" w:eastAsia="仿宋" w:cs="仿宋"/>
          <w:color w:val="auto"/>
          <w:highlight w:val="none"/>
        </w:rPr>
        <w:t xml:space="preserve">-3 </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承诺书</w:t>
      </w:r>
    </w:p>
    <w:p w14:paraId="1D319658">
      <w:pPr>
        <w:ind w:right="474"/>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致：吉安城投建设监理有限公司</w:t>
      </w:r>
    </w:p>
    <w:p w14:paraId="7FC9CEA4">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我公司自愿参加贵公司组织的</w:t>
      </w:r>
      <w:r>
        <w:rPr>
          <w:rFonts w:hint="eastAsia" w:ascii="仿宋" w:hAnsi="仿宋" w:eastAsia="仿宋" w:cs="仿宋"/>
          <w:color w:val="auto"/>
          <w:szCs w:val="24"/>
          <w:highlight w:val="none"/>
          <w:u w:val="single"/>
        </w:rPr>
        <w:t xml:space="preserve">       （项目名称）              </w:t>
      </w:r>
      <w:r>
        <w:rPr>
          <w:rFonts w:hint="eastAsia" w:ascii="仿宋" w:hAnsi="仿宋" w:eastAsia="仿宋" w:cs="仿宋"/>
          <w:color w:val="auto"/>
          <w:szCs w:val="24"/>
          <w:highlight w:val="none"/>
        </w:rPr>
        <w:t>（项目编号：）</w:t>
      </w:r>
      <w:r>
        <w:rPr>
          <w:rFonts w:hint="eastAsia" w:ascii="仿宋" w:hAnsi="仿宋" w:eastAsia="仿宋" w:cs="仿宋"/>
          <w:color w:val="auto"/>
          <w:szCs w:val="24"/>
          <w:highlight w:val="none"/>
          <w:lang w:eastAsia="zh-CN"/>
        </w:rPr>
        <w:t>响应</w:t>
      </w:r>
      <w:r>
        <w:rPr>
          <w:rFonts w:hint="eastAsia" w:ascii="仿宋" w:hAnsi="仿宋" w:eastAsia="仿宋" w:cs="仿宋"/>
          <w:color w:val="auto"/>
          <w:szCs w:val="24"/>
          <w:highlight w:val="none"/>
        </w:rPr>
        <w:t>。</w:t>
      </w:r>
    </w:p>
    <w:p w14:paraId="73D4444A">
      <w:pPr>
        <w:ind w:right="474" w:firstLine="480" w:firstLineChars="2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我公司郑重承诺：本公司有能力承接本次采购活动，如不能满足采购要求，虚假</w:t>
      </w: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的。我公司依法自愿接受相应的从重处罚。</w:t>
      </w:r>
    </w:p>
    <w:p w14:paraId="6E317B44">
      <w:pPr>
        <w:pStyle w:val="9"/>
        <w:rPr>
          <w:rFonts w:hint="eastAsia" w:ascii="仿宋" w:hAnsi="仿宋" w:eastAsia="仿宋" w:cs="仿宋"/>
          <w:color w:val="auto"/>
          <w:szCs w:val="24"/>
          <w:highlight w:val="none"/>
        </w:rPr>
      </w:pPr>
    </w:p>
    <w:p w14:paraId="488975D6">
      <w:pPr>
        <w:rPr>
          <w:rFonts w:hint="eastAsia" w:ascii="仿宋" w:hAnsi="仿宋" w:eastAsia="仿宋" w:cs="仿宋"/>
          <w:color w:val="auto"/>
          <w:highlight w:val="none"/>
        </w:rPr>
      </w:pPr>
    </w:p>
    <w:p w14:paraId="3332A5E3">
      <w:pPr>
        <w:ind w:right="26" w:firstLine="5520" w:firstLineChars="230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响应</w:t>
      </w:r>
      <w:r>
        <w:rPr>
          <w:rFonts w:hint="eastAsia" w:ascii="仿宋" w:hAnsi="仿宋" w:eastAsia="仿宋" w:cs="仿宋"/>
          <w:color w:val="auto"/>
          <w:szCs w:val="24"/>
          <w:highlight w:val="none"/>
          <w:lang w:eastAsia="zh-CN"/>
        </w:rPr>
        <w:t>服务商</w:t>
      </w:r>
      <w:r>
        <w:rPr>
          <w:rFonts w:hint="eastAsia" w:ascii="仿宋" w:hAnsi="仿宋" w:eastAsia="仿宋" w:cs="仿宋"/>
          <w:color w:val="auto"/>
          <w:highlight w:val="none"/>
        </w:rPr>
        <w:t>名称</w:t>
      </w:r>
      <w:r>
        <w:rPr>
          <w:rFonts w:hint="eastAsia" w:ascii="仿宋" w:hAnsi="仿宋" w:eastAsia="仿宋" w:cs="仿宋"/>
          <w:color w:val="auto"/>
          <w:szCs w:val="24"/>
          <w:highlight w:val="none"/>
        </w:rPr>
        <w:t xml:space="preserve">：（盖章） </w:t>
      </w:r>
    </w:p>
    <w:p w14:paraId="1C7E4BDC">
      <w:pPr>
        <w:ind w:right="26"/>
        <w:jc w:val="right"/>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法定代表人或被授权人：（签字或盖章）</w:t>
      </w:r>
    </w:p>
    <w:p w14:paraId="48D83B7F">
      <w:pPr>
        <w:tabs>
          <w:tab w:val="left" w:pos="3620"/>
          <w:tab w:val="left" w:pos="6100"/>
        </w:tabs>
        <w:ind w:right="602" w:rightChars="251" w:firstLine="240" w:firstLineChars="10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                                 日期：    年  月  日</w:t>
      </w:r>
    </w:p>
    <w:p w14:paraId="0C09A0AC">
      <w:pPr>
        <w:pStyle w:val="44"/>
        <w:ind w:firstLine="600"/>
        <w:rPr>
          <w:rFonts w:hint="eastAsia" w:ascii="仿宋" w:hAnsi="仿宋" w:eastAsia="仿宋" w:cs="仿宋"/>
          <w:color w:val="auto"/>
          <w:highlight w:val="none"/>
        </w:rPr>
      </w:pPr>
    </w:p>
    <w:p w14:paraId="41277002">
      <w:pPr>
        <w:jc w:val="both"/>
        <w:rPr>
          <w:rFonts w:hint="eastAsia" w:ascii="仿宋" w:hAnsi="仿宋" w:eastAsia="仿宋" w:cs="仿宋"/>
          <w:color w:val="auto"/>
          <w:szCs w:val="24"/>
          <w:highlight w:val="none"/>
        </w:rPr>
      </w:pPr>
    </w:p>
    <w:p w14:paraId="760F66DF">
      <w:pPr>
        <w:jc w:val="both"/>
        <w:rPr>
          <w:rFonts w:hint="eastAsia" w:ascii="仿宋" w:hAnsi="仿宋" w:eastAsia="仿宋" w:cs="仿宋"/>
          <w:color w:val="auto"/>
          <w:szCs w:val="24"/>
          <w:highlight w:val="none"/>
        </w:rPr>
        <w:sectPr>
          <w:pgSz w:w="11900" w:h="16838"/>
          <w:pgMar w:top="1440" w:right="1440" w:bottom="1440" w:left="1440" w:header="737" w:footer="454" w:gutter="0"/>
          <w:cols w:space="0" w:num="1"/>
        </w:sectPr>
      </w:pPr>
    </w:p>
    <w:p w14:paraId="7310D48A">
      <w:pPr>
        <w:pStyle w:val="3"/>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服务商响应</w:t>
      </w:r>
      <w:r>
        <w:rPr>
          <w:rFonts w:hint="eastAsia" w:ascii="仿宋" w:hAnsi="仿宋" w:eastAsia="仿宋" w:cs="仿宋"/>
          <w:color w:val="auto"/>
          <w:highlight w:val="none"/>
        </w:rPr>
        <w:t>资格证明文件</w:t>
      </w:r>
      <w:r>
        <w:rPr>
          <w:rFonts w:hint="eastAsia" w:ascii="仿宋" w:hAnsi="仿宋" w:eastAsia="仿宋" w:cs="仿宋"/>
          <w:color w:val="auto"/>
          <w:sz w:val="30"/>
          <w:szCs w:val="30"/>
          <w:highlight w:val="none"/>
        </w:rPr>
        <w:t>*</w:t>
      </w:r>
    </w:p>
    <w:p w14:paraId="4B44FA60">
      <w:pPr>
        <w:spacing w:before="185" w:line="228" w:lineRule="auto"/>
        <w:rPr>
          <w:rFonts w:hint="eastAsia" w:ascii="仿宋" w:hAnsi="仿宋" w:eastAsia="仿宋" w:cs="仿宋"/>
          <w:b/>
          <w:bCs/>
          <w:color w:val="auto"/>
          <w:spacing w:val="14"/>
          <w:highlight w:val="none"/>
        </w:rPr>
      </w:pPr>
      <w:r>
        <w:rPr>
          <w:rFonts w:hint="eastAsia" w:ascii="仿宋" w:hAnsi="仿宋" w:eastAsia="仿宋" w:cs="仿宋"/>
          <w:b/>
          <w:bCs/>
          <w:color w:val="auto"/>
          <w:spacing w:val="14"/>
          <w:highlight w:val="none"/>
        </w:rPr>
        <w:t>说明： 以下应当提交的资格、资信证明文件均为复印件加盖公章,未提交或不满足要求均视为无效</w:t>
      </w:r>
      <w:r>
        <w:rPr>
          <w:rFonts w:hint="eastAsia" w:ascii="仿宋" w:hAnsi="仿宋" w:eastAsia="仿宋" w:cs="仿宋"/>
          <w:b/>
          <w:bCs/>
          <w:color w:val="auto"/>
          <w:spacing w:val="14"/>
          <w:highlight w:val="none"/>
          <w:lang w:eastAsia="zh-CN"/>
        </w:rPr>
        <w:t>响应</w:t>
      </w:r>
      <w:r>
        <w:rPr>
          <w:rFonts w:hint="eastAsia" w:ascii="仿宋" w:hAnsi="仿宋" w:eastAsia="仿宋" w:cs="仿宋"/>
          <w:b/>
          <w:bCs/>
          <w:color w:val="auto"/>
          <w:spacing w:val="14"/>
          <w:highlight w:val="none"/>
        </w:rPr>
        <w:t>。文件另有具体要求的从其规定。</w:t>
      </w:r>
    </w:p>
    <w:p w14:paraId="6E8D43DE">
      <w:pPr>
        <w:spacing w:line="259" w:lineRule="auto"/>
        <w:rPr>
          <w:rFonts w:hint="eastAsia" w:ascii="仿宋" w:hAnsi="仿宋" w:eastAsia="仿宋" w:cs="仿宋"/>
          <w:color w:val="auto"/>
          <w:highlight w:val="none"/>
        </w:rPr>
      </w:pPr>
    </w:p>
    <w:p w14:paraId="48E13AAD">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资格证明文件组成如下：</w:t>
      </w:r>
    </w:p>
    <w:p w14:paraId="03B1A7FD">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1、证明具有独立承担民事责任能力的材料</w:t>
      </w:r>
      <w:r>
        <w:rPr>
          <w:rFonts w:hint="eastAsia" w:ascii="仿宋" w:hAnsi="仿宋" w:eastAsia="仿宋" w:cs="仿宋"/>
          <w:b/>
          <w:bCs/>
          <w:color w:val="auto"/>
          <w:szCs w:val="21"/>
          <w:highlight w:val="none"/>
        </w:rPr>
        <w:t>（</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根据单位性质提供相应的证明：如营业执照、民办非企业证、统一社会信用代码证书或自然人的身份证等，提供扫描件加盖公章）</w:t>
      </w:r>
      <w:r>
        <w:rPr>
          <w:rFonts w:hint="eastAsia" w:ascii="仿宋" w:hAnsi="仿宋" w:eastAsia="仿宋" w:cs="仿宋"/>
          <w:color w:val="auto"/>
          <w:szCs w:val="21"/>
          <w:highlight w:val="none"/>
        </w:rPr>
        <w:t>；</w:t>
      </w:r>
    </w:p>
    <w:p w14:paraId="68865512">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2、证明具有良好的商业信誉和健全的财务会计制度的材料；</w:t>
      </w:r>
    </w:p>
    <w:p w14:paraId="734D71E4">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3、证明具有履行合同所必需的设备和专业技术能力的材料；</w:t>
      </w:r>
    </w:p>
    <w:p w14:paraId="1914193B">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4、证明具有依法缴纳税收和社会保障资金的良好记录的材料；</w:t>
      </w:r>
    </w:p>
    <w:p w14:paraId="20E3C1C9">
      <w:pPr>
        <w:adjustRightInd w:val="0"/>
        <w:snapToGrid w:val="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 xml:space="preserve">    5、证明参加本次采购前三年内,在经营活动中没有重大违法记录的材料；</w:t>
      </w:r>
    </w:p>
    <w:p w14:paraId="322AF129">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6、征集文件要求的其他资格证明文件；</w:t>
      </w:r>
    </w:p>
    <w:p w14:paraId="36626E8F">
      <w:pPr>
        <w:adjustRightInd w:val="0"/>
        <w:snapToGrid w:val="0"/>
        <w:rPr>
          <w:rFonts w:hint="eastAsia" w:ascii="仿宋" w:hAnsi="仿宋" w:eastAsia="仿宋" w:cs="仿宋"/>
          <w:b/>
          <w:bCs/>
          <w:color w:val="auto"/>
          <w:szCs w:val="21"/>
          <w:highlight w:val="none"/>
        </w:rPr>
      </w:pPr>
    </w:p>
    <w:p w14:paraId="08108F51">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注：</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在采购项目资格审查环节提供了满足相应条件的书面承诺书(详见采购</w:t>
      </w:r>
      <w:r>
        <w:rPr>
          <w:rFonts w:hint="eastAsia" w:ascii="仿宋" w:hAnsi="仿宋" w:eastAsia="仿宋" w:cs="仿宋"/>
          <w:b/>
          <w:bCs/>
          <w:color w:val="auto"/>
          <w:szCs w:val="21"/>
          <w:highlight w:val="none"/>
          <w:lang w:val="en-US" w:eastAsia="zh-CN"/>
        </w:rPr>
        <w:t>供应商</w:t>
      </w:r>
      <w:r>
        <w:rPr>
          <w:rFonts w:hint="eastAsia" w:ascii="仿宋" w:hAnsi="仿宋" w:eastAsia="仿宋" w:cs="仿宋"/>
          <w:b/>
          <w:bCs/>
          <w:color w:val="auto"/>
          <w:szCs w:val="21"/>
          <w:highlight w:val="none"/>
        </w:rPr>
        <w:t>资格信用承诺函）后，可不再需要提供以下证明材料:</w:t>
      </w:r>
    </w:p>
    <w:p w14:paraId="14F78862">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1、证明具有良好的商业信誉和健全的财务会计制度的材料；</w:t>
      </w:r>
    </w:p>
    <w:p w14:paraId="7E83BBDA">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2、证明具有履行合同所必需的设备和专业技术能力的材料；</w:t>
      </w:r>
    </w:p>
    <w:p w14:paraId="0E125D3D">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3、证明具有依法缴纳税收和社会保障资金的良好记录的材料；</w:t>
      </w:r>
    </w:p>
    <w:p w14:paraId="11167A26">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4、证明参加本次采购前三年内,在经营活动中没有重大违法记录的材料；</w:t>
      </w:r>
    </w:p>
    <w:p w14:paraId="63A96336">
      <w:pPr>
        <w:adjustRightInd w:val="0"/>
        <w:snapToGrid w:val="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5、符合法律、行政法规规定的其他条件证明材料。</w:t>
      </w:r>
    </w:p>
    <w:p w14:paraId="4053AE3C">
      <w:pPr>
        <w:spacing w:before="75" w:line="324" w:lineRule="auto"/>
        <w:ind w:right="96" w:firstLine="482" w:firstLineChars="200"/>
        <w:rPr>
          <w:rFonts w:hint="eastAsia" w:ascii="仿宋" w:hAnsi="仿宋" w:eastAsia="仿宋" w:cs="仿宋"/>
          <w:color w:val="auto"/>
          <w:spacing w:val="18"/>
          <w:sz w:val="23"/>
          <w:szCs w:val="23"/>
          <w:highlight w:val="none"/>
        </w:rPr>
      </w:pPr>
      <w:r>
        <w:rPr>
          <w:rFonts w:hint="eastAsia" w:ascii="仿宋" w:hAnsi="仿宋" w:eastAsia="仿宋" w:cs="仿宋"/>
          <w:b/>
          <w:bCs/>
          <w:color w:val="auto"/>
          <w:szCs w:val="21"/>
          <w:highlight w:val="none"/>
        </w:rPr>
        <w:t xml:space="preserve">    </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在响应时，应按规定提供信用承诺函采购人有权在确定成交结果后、签订采购合同前核实成交</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所作信用承诺事项的真实性，</w:t>
      </w:r>
      <w:r>
        <w:rPr>
          <w:rFonts w:hint="eastAsia" w:ascii="仿宋" w:hAnsi="仿宋" w:eastAsia="仿宋" w:cs="仿宋"/>
          <w:b/>
          <w:bCs/>
          <w:color w:val="auto"/>
          <w:szCs w:val="21"/>
          <w:highlight w:val="none"/>
          <w:lang w:eastAsia="zh-CN"/>
        </w:rPr>
        <w:t>服务商</w:t>
      </w:r>
      <w:r>
        <w:rPr>
          <w:rFonts w:hint="eastAsia" w:ascii="仿宋" w:hAnsi="仿宋" w:eastAsia="仿宋" w:cs="仿宋"/>
          <w:b/>
          <w:bCs/>
          <w:color w:val="auto"/>
          <w:szCs w:val="21"/>
          <w:highlight w:val="none"/>
        </w:rPr>
        <w:t>应对提供虚假承诺行为承担相应的法律责任。</w:t>
      </w:r>
    </w:p>
    <w:p w14:paraId="4B0B6831">
      <w:pPr>
        <w:rPr>
          <w:rFonts w:hint="eastAsia" w:ascii="仿宋" w:hAnsi="仿宋" w:eastAsia="仿宋" w:cs="仿宋"/>
          <w:color w:val="auto"/>
          <w:highlight w:val="none"/>
        </w:rPr>
        <w:sectPr>
          <w:footerReference r:id="rId14" w:type="default"/>
          <w:pgSz w:w="11900" w:h="16838"/>
          <w:pgMar w:top="1440" w:right="1440" w:bottom="1440" w:left="1440" w:header="737" w:footer="454" w:gutter="0"/>
          <w:pgNumType w:fmt="numberInDash"/>
          <w:cols w:space="0" w:num="1"/>
        </w:sectPr>
      </w:pPr>
    </w:p>
    <w:p w14:paraId="39DEE307">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-1 具有独立承担民事责任的能力</w:t>
      </w:r>
    </w:p>
    <w:p w14:paraId="0802DEB0">
      <w:pPr>
        <w:wordWrap w:val="0"/>
        <w:jc w:val="both"/>
        <w:rPr>
          <w:rFonts w:hint="eastAsia" w:ascii="仿宋" w:hAnsi="仿宋" w:eastAsia="仿宋" w:cs="仿宋"/>
          <w:b/>
          <w:color w:val="auto"/>
          <w:szCs w:val="24"/>
          <w:highlight w:val="none"/>
        </w:rPr>
      </w:pPr>
      <w:r>
        <w:rPr>
          <w:rFonts w:hint="eastAsia" w:ascii="仿宋" w:hAnsi="仿宋" w:eastAsia="仿宋" w:cs="仿宋"/>
          <w:bCs/>
          <w:color w:val="auto"/>
          <w:szCs w:val="24"/>
          <w:highlight w:val="none"/>
        </w:rPr>
        <w:t>具有独立承担民事责任的能力</w:t>
      </w:r>
      <w:r>
        <w:rPr>
          <w:rFonts w:hint="eastAsia" w:ascii="仿宋" w:hAnsi="仿宋" w:eastAsia="仿宋" w:cs="仿宋"/>
          <w:b/>
          <w:color w:val="auto"/>
          <w:szCs w:val="24"/>
          <w:highlight w:val="none"/>
        </w:rPr>
        <w:t>【提供法人或者其他组织的有效营业执照等证明文件原件或复印件加盖</w:t>
      </w:r>
      <w:r>
        <w:rPr>
          <w:rFonts w:hint="eastAsia" w:ascii="仿宋" w:hAnsi="仿宋" w:eastAsia="仿宋" w:cs="仿宋"/>
          <w:b/>
          <w:color w:val="auto"/>
          <w:szCs w:val="24"/>
          <w:highlight w:val="none"/>
          <w:lang w:eastAsia="zh-CN"/>
        </w:rPr>
        <w:t>服务商</w:t>
      </w:r>
      <w:r>
        <w:rPr>
          <w:rFonts w:hint="eastAsia" w:ascii="仿宋" w:hAnsi="仿宋" w:eastAsia="仿宋" w:cs="仿宋"/>
          <w:b/>
          <w:color w:val="auto"/>
          <w:szCs w:val="24"/>
          <w:highlight w:val="none"/>
        </w:rPr>
        <w:t>公章】；</w:t>
      </w:r>
    </w:p>
    <w:p w14:paraId="5D9F4A64">
      <w:pPr>
        <w:wordWrap w:val="0"/>
        <w:jc w:val="both"/>
        <w:rPr>
          <w:rFonts w:hint="eastAsia" w:ascii="仿宋" w:hAnsi="仿宋" w:eastAsia="仿宋" w:cs="仿宋"/>
          <w:bCs/>
          <w:color w:val="auto"/>
          <w:szCs w:val="24"/>
          <w:highlight w:val="none"/>
        </w:rPr>
      </w:pPr>
      <w:r>
        <w:rPr>
          <w:rFonts w:hint="eastAsia" w:ascii="仿宋" w:hAnsi="仿宋" w:eastAsia="仿宋" w:cs="仿宋"/>
          <w:bCs/>
          <w:color w:val="auto"/>
          <w:szCs w:val="24"/>
          <w:highlight w:val="none"/>
        </w:rPr>
        <w:t>释义：</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是企业（包括合伙企业）的，应提供其在工商部门注册的有效“企业法人营业执照”或“营业执照”；</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是事业单位的，应提供其有效的“事业单位法人证书”；</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是非企业专业服务机构的，应提供其有效的执业许可证；</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是个体工商户的，应提供其有效的“个体工商户营业执照”；</w:t>
      </w:r>
      <w:r>
        <w:rPr>
          <w:rFonts w:hint="eastAsia" w:ascii="仿宋" w:hAnsi="仿宋" w:eastAsia="仿宋" w:cs="仿宋"/>
          <w:bCs/>
          <w:color w:val="auto"/>
          <w:szCs w:val="24"/>
          <w:highlight w:val="none"/>
          <w:lang w:eastAsia="zh-CN"/>
        </w:rPr>
        <w:t>服务商</w:t>
      </w:r>
      <w:r>
        <w:rPr>
          <w:rFonts w:hint="eastAsia" w:ascii="仿宋" w:hAnsi="仿宋" w:eastAsia="仿宋" w:cs="仿宋"/>
          <w:bCs/>
          <w:color w:val="auto"/>
          <w:szCs w:val="24"/>
          <w:highlight w:val="none"/>
        </w:rPr>
        <w:t>是自然人的，应提供其有效的自然人身份证明。</w:t>
      </w:r>
    </w:p>
    <w:p w14:paraId="4E1C67BE">
      <w:pPr>
        <w:rPr>
          <w:rFonts w:hint="eastAsia" w:ascii="仿宋" w:hAnsi="仿宋" w:eastAsia="仿宋" w:cs="仿宋"/>
          <w:color w:val="auto"/>
          <w:highlight w:val="none"/>
        </w:rPr>
      </w:pPr>
    </w:p>
    <w:p w14:paraId="21AC0536">
      <w:pPr>
        <w:pStyle w:val="44"/>
        <w:ind w:firstLine="600"/>
        <w:rPr>
          <w:rFonts w:hint="eastAsia" w:ascii="仿宋" w:hAnsi="仿宋" w:eastAsia="仿宋" w:cs="仿宋"/>
          <w:color w:val="auto"/>
          <w:highlight w:val="none"/>
        </w:rPr>
        <w:sectPr>
          <w:pgSz w:w="11900" w:h="16838"/>
          <w:pgMar w:top="1440" w:right="1440" w:bottom="1440" w:left="1440" w:header="737" w:footer="454" w:gutter="0"/>
          <w:cols w:space="0" w:num="1"/>
        </w:sectPr>
      </w:pPr>
    </w:p>
    <w:p w14:paraId="7A87CC73">
      <w:pPr>
        <w:pStyle w:val="4"/>
        <w:spacing w:before="120" w:after="120"/>
        <w:rPr>
          <w:rFonts w:hint="eastAsia" w:ascii="仿宋" w:hAnsi="仿宋" w:eastAsia="仿宋" w:cs="仿宋"/>
          <w:color w:val="auto"/>
          <w:highlight w:val="none"/>
        </w:rPr>
      </w:pPr>
      <w:r>
        <w:rPr>
          <w:rFonts w:hint="eastAsia" w:cs="仿宋"/>
          <w:color w:val="auto"/>
          <w:highlight w:val="none"/>
          <w:lang w:val="en-US" w:eastAsia="zh-CN"/>
        </w:rPr>
        <w:t>5</w:t>
      </w:r>
      <w:r>
        <w:rPr>
          <w:rFonts w:hint="eastAsia" w:ascii="仿宋" w:hAnsi="仿宋" w:eastAsia="仿宋" w:cs="仿宋"/>
          <w:color w:val="auto"/>
          <w:highlight w:val="none"/>
        </w:rPr>
        <w:t>-2 江西省政府采购</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资格信用承诺函</w:t>
      </w:r>
    </w:p>
    <w:p w14:paraId="54B0449D">
      <w:pPr>
        <w:pStyle w:val="84"/>
        <w:spacing w:line="610" w:lineRule="exact"/>
        <w:ind w:firstLine="0"/>
        <w:jc w:val="center"/>
        <w:rPr>
          <w:rFonts w:hint="eastAsia" w:ascii="仿宋" w:hAnsi="仿宋" w:eastAsia="仿宋" w:cs="仿宋"/>
          <w:color w:val="auto"/>
          <w:spacing w:val="-2"/>
          <w:sz w:val="24"/>
          <w:szCs w:val="24"/>
          <w:highlight w:val="none"/>
          <w:lang w:val="en-US" w:eastAsia="zh-CN"/>
        </w:rPr>
      </w:pPr>
      <w:r>
        <w:rPr>
          <w:rFonts w:hint="eastAsia" w:ascii="仿宋" w:hAnsi="仿宋" w:eastAsia="仿宋" w:cs="仿宋"/>
          <w:color w:val="auto"/>
          <w:spacing w:val="-2"/>
          <w:sz w:val="24"/>
          <w:szCs w:val="24"/>
          <w:highlight w:val="none"/>
          <w:lang w:val="en-US" w:eastAsia="zh-CN"/>
        </w:rPr>
        <w:t>江西省政府采购供应商资格信用承诺函</w:t>
      </w:r>
    </w:p>
    <w:p w14:paraId="08B20FC3">
      <w:pPr>
        <w:pStyle w:val="84"/>
        <w:spacing w:line="610" w:lineRule="exact"/>
        <w:ind w:firstLine="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致（采购人或采购代理机构）:</w:t>
      </w:r>
    </w:p>
    <w:p w14:paraId="41BF7933">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单位名称（自然人姓名）:</w:t>
      </w:r>
    </w:p>
    <w:p w14:paraId="263E1CF2">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统一社会信用代码（身份证号码）：</w:t>
      </w:r>
    </w:p>
    <w:p w14:paraId="6A2B6DE1">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法定代表人（负责人）：</w:t>
      </w:r>
    </w:p>
    <w:p w14:paraId="687967A8">
      <w:pPr>
        <w:pStyle w:val="84"/>
        <w:spacing w:line="610" w:lineRule="exact"/>
        <w:ind w:firstLine="480" w:firstLineChars="200"/>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联系地址和电话：</w:t>
      </w:r>
    </w:p>
    <w:p w14:paraId="25B48621">
      <w:pPr>
        <w:pStyle w:val="84"/>
        <w:spacing w:line="6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我单位（本人）自愿参加本次</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，严格遵守《中华人民共和国政府采购法》及相关法律法规，坚守公开、公平、公正和诚实信用等原则，依法诚信经营，并郑重承诺：</w:t>
      </w:r>
    </w:p>
    <w:p w14:paraId="131B33B0">
      <w:pPr>
        <w:pStyle w:val="84"/>
        <w:spacing w:line="610"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（一）我单位（本人）符合采购文件要求以及《中华人民共和国政府采购法》第二十二条规定的条件：</w:t>
      </w:r>
    </w:p>
    <w:p w14:paraId="759CA02E">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具有独立承担民事责任的能力；</w:t>
      </w:r>
    </w:p>
    <w:p w14:paraId="149CF0EE">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具有良好的商业信誉和健全的财务会计制度；</w:t>
      </w:r>
    </w:p>
    <w:p w14:paraId="44E65ACB">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具有履行合同所必需的设备和专业技术能力；</w:t>
      </w:r>
    </w:p>
    <w:p w14:paraId="4D2C64F3">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有依法缴纳税收和社会保障资金的良好记录；</w:t>
      </w:r>
    </w:p>
    <w:p w14:paraId="442235E3">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参加</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前三年内，在经营活动中没有重大违法记录；</w:t>
      </w:r>
    </w:p>
    <w:p w14:paraId="560B3C5B">
      <w:pPr>
        <w:pStyle w:val="84"/>
        <w:tabs>
          <w:tab w:val="left" w:pos="977"/>
        </w:tabs>
        <w:spacing w:line="610" w:lineRule="exact"/>
        <w:ind w:left="580" w:firstLine="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符合法律、行政法规规定的其他条件。</w:t>
      </w:r>
    </w:p>
    <w:p w14:paraId="6D2D911D">
      <w:pPr>
        <w:pStyle w:val="84"/>
        <w:spacing w:line="653"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（二）我单位（本人）未被列入严重失信主体名单、失信被执行人、</w:t>
      </w:r>
      <w:r>
        <w:rPr>
          <w:rFonts w:hint="eastAsia" w:ascii="仿宋" w:hAnsi="仿宋" w:eastAsia="仿宋" w:cs="仿宋"/>
          <w:color w:val="auto"/>
          <w:sz w:val="24"/>
          <w:szCs w:val="24"/>
          <w:highlight w:val="none"/>
          <w:lang w:val="en-US" w:eastAsia="zh-CN"/>
        </w:rPr>
        <w:t>税收违法黑名单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重大</w:t>
      </w:r>
      <w:r>
        <w:rPr>
          <w:rFonts w:hint="eastAsia" w:ascii="仿宋" w:hAnsi="仿宋" w:eastAsia="仿宋" w:cs="仿宋"/>
          <w:color w:val="auto"/>
          <w:sz w:val="24"/>
          <w:szCs w:val="24"/>
          <w:highlight w:val="none"/>
        </w:rPr>
        <w:t>税收违法</w:t>
      </w:r>
      <w:r>
        <w:rPr>
          <w:rFonts w:hint="eastAsia" w:ascii="仿宋" w:hAnsi="仿宋" w:eastAsia="仿宋" w:cs="仿宋"/>
          <w:color w:val="auto"/>
          <w:sz w:val="24"/>
          <w:szCs w:val="24"/>
          <w:highlight w:val="none"/>
          <w:lang w:val="en-US" w:eastAsia="zh-CN"/>
        </w:rPr>
        <w:t>失信主体）</w:t>
      </w:r>
      <w:r>
        <w:rPr>
          <w:rFonts w:hint="eastAsia" w:ascii="仿宋" w:hAnsi="仿宋" w:eastAsia="仿宋" w:cs="仿宋"/>
          <w:color w:val="auto"/>
          <w:sz w:val="24"/>
          <w:szCs w:val="24"/>
          <w:highlight w:val="none"/>
        </w:rPr>
        <w:t>、政府采购严重违法失信行为记录名单。</w:t>
      </w:r>
    </w:p>
    <w:p w14:paraId="3012058E">
      <w:pPr>
        <w:pStyle w:val="84"/>
        <w:spacing w:after="580" w:line="605"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我单位（本人）对本承诺函及所承诺事项的真实性、合法性及有效性负责，并已知晓如所作信用承诺不实，可能涉嫌《中华人民共和国政府采购法》第七十七条第一款第（一）项规定的 </w:t>
      </w:r>
      <w:r>
        <w:rPr>
          <w:rFonts w:hint="eastAsia" w:ascii="仿宋" w:hAnsi="仿宋" w:eastAsia="仿宋" w:cs="仿宋"/>
          <w:color w:val="auto"/>
          <w:sz w:val="24"/>
          <w:szCs w:val="24"/>
          <w:highlight w:val="none"/>
          <w:lang w:val="zh-CN" w:eastAsia="zh-CN" w:bidi="zh-CN"/>
        </w:rPr>
        <w:t>“提供</w:t>
      </w:r>
      <w:r>
        <w:rPr>
          <w:rFonts w:hint="eastAsia" w:ascii="仿宋" w:hAnsi="仿宋" w:eastAsia="仿宋" w:cs="仿宋"/>
          <w:color w:val="auto"/>
          <w:sz w:val="24"/>
          <w:szCs w:val="24"/>
          <w:highlight w:val="none"/>
        </w:rPr>
        <w:t>虚假材料谋取中标、成交”违法情形。经调查属实的，自觉接受采购监管部门按照《中华人民共和国政府采购法》第七十七条：</w:t>
      </w:r>
      <w:r>
        <w:rPr>
          <w:rFonts w:hint="eastAsia" w:ascii="仿宋" w:hAnsi="仿宋" w:eastAsia="仿宋" w:cs="仿宋"/>
          <w:color w:val="auto"/>
          <w:sz w:val="24"/>
          <w:szCs w:val="24"/>
          <w:highlight w:val="none"/>
          <w:lang w:val="zh-CN" w:eastAsia="zh-CN" w:bidi="zh-CN"/>
        </w:rPr>
        <w:t>“处</w:t>
      </w:r>
      <w:r>
        <w:rPr>
          <w:rFonts w:hint="eastAsia" w:ascii="仿宋" w:hAnsi="仿宋" w:eastAsia="仿宋" w:cs="仿宋"/>
          <w:color w:val="auto"/>
          <w:sz w:val="24"/>
          <w:szCs w:val="24"/>
          <w:highlight w:val="none"/>
        </w:rPr>
        <w:t>以采购金额千分之五以上千分之十以下的罚款，列入</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不良行为记录名单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黑名单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，在一至三年内禁止参加</w:t>
      </w:r>
      <w:r>
        <w:rPr>
          <w:rFonts w:hint="eastAsia" w:ascii="仿宋" w:hAnsi="仿宋" w:eastAsia="仿宋" w:cs="仿宋"/>
          <w:color w:val="auto"/>
          <w:sz w:val="24"/>
          <w:szCs w:val="24"/>
          <w:highlight w:val="none"/>
          <w:lang w:val="en-US" w:eastAsia="zh-CN"/>
        </w:rPr>
        <w:t>吉安城投公司级各子公司</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，有违法所得的，没收违法所得，情节严重的，</w:t>
      </w:r>
      <w:r>
        <w:rPr>
          <w:rFonts w:hint="eastAsia" w:ascii="仿宋" w:hAnsi="仿宋" w:eastAsia="仿宋" w:cs="仿宋"/>
          <w:color w:val="auto"/>
          <w:sz w:val="24"/>
          <w:szCs w:val="24"/>
          <w:highlight w:val="none"/>
          <w:lang w:val="en-US" w:eastAsia="zh-CN"/>
        </w:rPr>
        <w:t>递交至市场监管部门</w:t>
      </w:r>
      <w:r>
        <w:rPr>
          <w:rFonts w:hint="eastAsia" w:ascii="仿宋" w:hAnsi="仿宋" w:eastAsia="仿宋" w:cs="仿宋"/>
          <w:color w:val="auto"/>
          <w:sz w:val="24"/>
          <w:szCs w:val="24"/>
          <w:highlight w:val="none"/>
        </w:rPr>
        <w:t>处理。</w:t>
      </w:r>
    </w:p>
    <w:p w14:paraId="4C2723FD">
      <w:pPr>
        <w:pStyle w:val="84"/>
        <w:spacing w:line="605" w:lineRule="exact"/>
        <w:ind w:firstLine="0"/>
        <w:jc w:val="center"/>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名称（单位公章）：</w:t>
      </w:r>
    </w:p>
    <w:p w14:paraId="6BE47279">
      <w:pPr>
        <w:pStyle w:val="84"/>
        <w:spacing w:line="605" w:lineRule="exact"/>
        <w:ind w:firstLine="0"/>
        <w:jc w:val="center"/>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或自然人（签字）：</w:t>
      </w:r>
    </w:p>
    <w:p w14:paraId="1FB05441">
      <w:pPr>
        <w:pStyle w:val="84"/>
        <w:spacing w:after="520" w:line="605" w:lineRule="exact"/>
        <w:ind w:firstLine="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年月日</w:t>
      </w:r>
    </w:p>
    <w:p w14:paraId="302610A9">
      <w:pPr>
        <w:pStyle w:val="85"/>
        <w:spacing w:line="602"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6F7D0FDC">
      <w:pPr>
        <w:pStyle w:val="85"/>
        <w:spacing w:line="602"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我单位（本人）专指参加</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服务商</w:t>
      </w:r>
      <w:r>
        <w:rPr>
          <w:rFonts w:hint="eastAsia" w:ascii="仿宋" w:hAnsi="仿宋" w:eastAsia="仿宋" w:cs="仿宋"/>
          <w:color w:val="auto"/>
          <w:sz w:val="24"/>
          <w:szCs w:val="24"/>
          <w:highlight w:val="none"/>
        </w:rPr>
        <w:t>（含自然人）</w:t>
      </w:r>
    </w:p>
    <w:p w14:paraId="07696FF8">
      <w:pPr>
        <w:widowControl w:val="0"/>
        <w:spacing w:line="420" w:lineRule="exact"/>
        <w:ind w:left="12" w:hanging="12" w:hangingChars="5"/>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须在响应文件中按此模板提供承诺函，既未提供上述承诺函又未提供对应事项证明材料的，视为未实质响应征集文件要求，按无效响应处理。</w:t>
      </w:r>
    </w:p>
    <w:p w14:paraId="3F27BFB7">
      <w:pPr>
        <w:widowControl w:val="0"/>
        <w:spacing w:line="420" w:lineRule="exact"/>
        <w:ind w:left="12" w:hanging="12" w:hangingChars="5"/>
        <w:rPr>
          <w:rFonts w:hint="eastAsia" w:ascii="仿宋" w:hAnsi="仿宋" w:eastAsia="仿宋" w:cs="仿宋"/>
          <w:color w:val="auto"/>
          <w:szCs w:val="24"/>
          <w:highlight w:val="none"/>
        </w:rPr>
      </w:pPr>
      <w:r>
        <w:rPr>
          <w:rFonts w:hint="eastAsia" w:ascii="仿宋" w:hAnsi="仿宋" w:eastAsia="仿宋" w:cs="仿宋"/>
          <w:color w:val="auto"/>
          <w:szCs w:val="24"/>
          <w:highlight w:val="none"/>
        </w:rPr>
        <w:t>3、采购人可以在公告成交结果后、签订采购合同前, 核实成交</w:t>
      </w:r>
      <w:r>
        <w:rPr>
          <w:rFonts w:hint="eastAsia" w:ascii="仿宋" w:hAnsi="仿宋" w:eastAsia="仿宋" w:cs="仿宋"/>
          <w:color w:val="auto"/>
          <w:szCs w:val="24"/>
          <w:highlight w:val="none"/>
          <w:lang w:eastAsia="zh-CN"/>
        </w:rPr>
        <w:t>服务商</w:t>
      </w:r>
      <w:r>
        <w:rPr>
          <w:rFonts w:hint="eastAsia" w:ascii="仿宋" w:hAnsi="仿宋" w:eastAsia="仿宋" w:cs="仿宋"/>
          <w:color w:val="auto"/>
          <w:szCs w:val="24"/>
          <w:highlight w:val="none"/>
        </w:rPr>
        <w:t>所作信用承诺事项的真实性。</w:t>
      </w:r>
    </w:p>
    <w:p w14:paraId="23137480">
      <w:pPr>
        <w:widowControl w:val="0"/>
        <w:spacing w:line="400" w:lineRule="exact"/>
        <w:jc w:val="both"/>
        <w:rPr>
          <w:rFonts w:hint="eastAsia" w:ascii="仿宋" w:hAnsi="仿宋" w:eastAsia="仿宋" w:cs="仿宋"/>
          <w:b/>
          <w:bCs/>
          <w:color w:val="auto"/>
          <w:szCs w:val="24"/>
          <w:highlight w:val="none"/>
        </w:rPr>
      </w:pPr>
    </w:p>
    <w:p w14:paraId="5B176D4B">
      <w:pPr>
        <w:widowControl w:val="0"/>
        <w:spacing w:line="219" w:lineRule="auto"/>
        <w:rPr>
          <w:rFonts w:hint="eastAsia" w:ascii="仿宋" w:hAnsi="仿宋" w:eastAsia="仿宋" w:cs="仿宋"/>
          <w:color w:val="auto"/>
          <w:szCs w:val="24"/>
          <w:highlight w:val="none"/>
        </w:rPr>
        <w:sectPr>
          <w:footerReference r:id="rId15" w:type="default"/>
          <w:pgSz w:w="11900" w:h="16838"/>
          <w:pgMar w:top="1440" w:right="1440" w:bottom="1440" w:left="1440" w:header="737" w:footer="454" w:gutter="0"/>
          <w:cols w:space="0" w:num="1"/>
        </w:sectPr>
      </w:pPr>
    </w:p>
    <w:p w14:paraId="09726F3D">
      <w:pPr>
        <w:adjustRightInd w:val="0"/>
        <w:snapToGrid w:val="0"/>
        <w:jc w:val="center"/>
        <w:rPr>
          <w:rFonts w:hint="eastAsia" w:ascii="仿宋" w:hAnsi="仿宋" w:eastAsia="仿宋" w:cs="仿宋"/>
          <w:b/>
          <w:bCs/>
          <w:color w:val="auto"/>
          <w:sz w:val="28"/>
          <w:szCs w:val="32"/>
          <w:highlight w:val="none"/>
        </w:rPr>
      </w:pPr>
      <w:bookmarkStart w:id="55" w:name="bookmark60"/>
      <w:bookmarkEnd w:id="55"/>
      <w:bookmarkStart w:id="56" w:name="bookmark61"/>
      <w:bookmarkEnd w:id="56"/>
      <w:r>
        <w:rPr>
          <w:rFonts w:hint="eastAsia" w:ascii="仿宋" w:hAnsi="仿宋" w:cs="仿宋"/>
          <w:b/>
          <w:bCs/>
          <w:color w:val="auto"/>
          <w:sz w:val="28"/>
          <w:szCs w:val="32"/>
          <w:highlight w:val="none"/>
          <w:lang w:val="en-US" w:eastAsia="zh-CN"/>
        </w:rPr>
        <w:t>6</w:t>
      </w:r>
      <w:r>
        <w:rPr>
          <w:rFonts w:hint="eastAsia" w:ascii="仿宋" w:hAnsi="仿宋" w:eastAsia="仿宋" w:cs="仿宋"/>
          <w:b/>
          <w:bCs/>
          <w:color w:val="auto"/>
          <w:sz w:val="28"/>
          <w:szCs w:val="32"/>
          <w:highlight w:val="none"/>
          <w:lang w:val="en-US" w:eastAsia="zh-CN"/>
        </w:rPr>
        <w:t>、</w:t>
      </w:r>
      <w:r>
        <w:rPr>
          <w:rFonts w:hint="eastAsia" w:ascii="仿宋" w:hAnsi="仿宋" w:eastAsia="仿宋" w:cs="仿宋"/>
          <w:b/>
          <w:bCs/>
          <w:color w:val="auto"/>
          <w:sz w:val="28"/>
          <w:szCs w:val="32"/>
          <w:highlight w:val="none"/>
          <w:lang w:eastAsia="zh-CN"/>
        </w:rPr>
        <w:t>服务商</w:t>
      </w:r>
      <w:r>
        <w:rPr>
          <w:rFonts w:hint="eastAsia" w:ascii="仿宋" w:hAnsi="仿宋" w:eastAsia="仿宋" w:cs="仿宋"/>
          <w:b/>
          <w:bCs/>
          <w:color w:val="auto"/>
          <w:sz w:val="28"/>
          <w:szCs w:val="32"/>
          <w:highlight w:val="none"/>
        </w:rPr>
        <w:t>认为需要提供的其他材料</w:t>
      </w:r>
    </w:p>
    <w:p w14:paraId="444F7A83">
      <w:pPr>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57" w:name="page45"/>
      <w:bookmarkEnd w:id="57"/>
      <w:r>
        <w:rPr>
          <w:rFonts w:hint="eastAsia" w:ascii="仿宋" w:hAnsi="仿宋" w:eastAsia="仿宋" w:cs="仿宋"/>
          <w:b/>
          <w:color w:val="auto"/>
          <w:sz w:val="30"/>
          <w:szCs w:val="30"/>
          <w:highlight w:val="none"/>
          <w:lang w:eastAsia="zh-CN"/>
        </w:rPr>
        <w:t>JACTJL-内采字〔2026〕056号</w:t>
      </w:r>
      <w:r>
        <w:rPr>
          <w:rFonts w:hint="eastAsia" w:ascii="仿宋" w:hAnsi="仿宋" w:eastAsia="仿宋" w:cs="仿宋"/>
          <w:b/>
          <w:color w:val="auto"/>
          <w:sz w:val="30"/>
          <w:szCs w:val="30"/>
          <w:highlight w:val="none"/>
        </w:rPr>
        <w:t>征集公告及征集文件的审批意见</w:t>
      </w:r>
    </w:p>
    <w:tbl>
      <w:tblPr>
        <w:tblStyle w:val="22"/>
        <w:tblpPr w:leftFromText="180" w:rightFromText="180" w:vertAnchor="text" w:horzAnchor="page" w:tblpX="1712" w:tblpY="141"/>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145"/>
      </w:tblGrid>
      <w:tr w14:paraId="14D5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4" w:hRule="atLeast"/>
        </w:trPr>
        <w:tc>
          <w:tcPr>
            <w:tcW w:w="600" w:type="dxa"/>
            <w:tcBorders>
              <w:top w:val="single" w:color="auto" w:sz="4" w:space="0"/>
              <w:left w:val="single" w:color="auto" w:sz="4" w:space="0"/>
              <w:bottom w:val="single" w:color="auto" w:sz="4" w:space="0"/>
              <w:right w:val="single" w:color="auto" w:sz="4" w:space="0"/>
            </w:tcBorders>
            <w:noWrap/>
          </w:tcPr>
          <w:p w14:paraId="6D191355">
            <w:pPr>
              <w:rPr>
                <w:rFonts w:hint="eastAsia" w:ascii="仿宋" w:hAnsi="仿宋" w:eastAsia="仿宋" w:cs="仿宋"/>
                <w:color w:val="auto"/>
                <w:sz w:val="28"/>
                <w:szCs w:val="28"/>
                <w:highlight w:val="none"/>
              </w:rPr>
            </w:pPr>
          </w:p>
          <w:p w14:paraId="0D05AA2B">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w:t>
            </w:r>
          </w:p>
          <w:p w14:paraId="7970D754">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购</w:t>
            </w:r>
          </w:p>
          <w:p w14:paraId="39F4D630">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w:t>
            </w:r>
          </w:p>
          <w:p w14:paraId="0DE48798">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位</w:t>
            </w:r>
          </w:p>
          <w:p w14:paraId="7E0023A3">
            <w:pPr>
              <w:rPr>
                <w:rFonts w:hint="eastAsia" w:ascii="仿宋" w:hAnsi="仿宋" w:eastAsia="仿宋" w:cs="仿宋"/>
                <w:b/>
                <w:color w:val="auto"/>
                <w:sz w:val="28"/>
                <w:szCs w:val="28"/>
                <w:highlight w:val="none"/>
              </w:rPr>
            </w:pPr>
          </w:p>
        </w:tc>
        <w:tc>
          <w:tcPr>
            <w:tcW w:w="8145" w:type="dxa"/>
            <w:tcBorders>
              <w:top w:val="single" w:color="auto" w:sz="4" w:space="0"/>
              <w:left w:val="single" w:color="auto" w:sz="4" w:space="0"/>
              <w:bottom w:val="single" w:color="auto" w:sz="4" w:space="0"/>
              <w:right w:val="single" w:color="auto" w:sz="4" w:space="0"/>
            </w:tcBorders>
            <w:noWrap/>
          </w:tcPr>
          <w:p w14:paraId="7292C976">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采购单位意见：</w:t>
            </w:r>
            <w:r>
              <w:rPr>
                <w:rFonts w:hint="eastAsia" w:ascii="仿宋" w:hAnsi="仿宋" w:eastAsia="仿宋" w:cs="仿宋"/>
                <w:b/>
                <w:bCs/>
                <w:color w:val="auto"/>
                <w:sz w:val="28"/>
                <w:szCs w:val="28"/>
                <w:highlight w:val="none"/>
                <w:u w:val="single"/>
              </w:rPr>
              <w:t>同意本</w:t>
            </w:r>
            <w:r>
              <w:rPr>
                <w:rFonts w:hint="eastAsia" w:ascii="仿宋" w:hAnsi="仿宋" w:eastAsia="仿宋" w:cs="仿宋"/>
                <w:b/>
                <w:bCs/>
                <w:color w:val="auto"/>
                <w:sz w:val="28"/>
                <w:szCs w:val="28"/>
                <w:highlight w:val="none"/>
                <w:u w:val="single"/>
                <w:lang w:val="en-US" w:eastAsia="zh-CN"/>
              </w:rPr>
              <w:t>征集</w:t>
            </w:r>
            <w:r>
              <w:rPr>
                <w:rFonts w:hint="eastAsia" w:ascii="仿宋" w:hAnsi="仿宋" w:eastAsia="仿宋" w:cs="仿宋"/>
                <w:b/>
                <w:bCs/>
                <w:color w:val="auto"/>
                <w:sz w:val="28"/>
                <w:szCs w:val="28"/>
                <w:highlight w:val="none"/>
                <w:u w:val="single"/>
              </w:rPr>
              <w:t>文件要求，请按相关程序发布</w:t>
            </w:r>
            <w:r>
              <w:rPr>
                <w:rFonts w:hint="eastAsia" w:ascii="仿宋" w:hAnsi="仿宋" w:eastAsia="仿宋" w:cs="仿宋"/>
                <w:b/>
                <w:bCs/>
                <w:color w:val="auto"/>
                <w:sz w:val="28"/>
                <w:szCs w:val="28"/>
                <w:highlight w:val="none"/>
                <w:u w:val="single"/>
                <w:lang w:val="en-US" w:eastAsia="zh-CN"/>
              </w:rPr>
              <w:t>征集</w:t>
            </w:r>
            <w:r>
              <w:rPr>
                <w:rFonts w:hint="eastAsia" w:ascii="仿宋" w:hAnsi="仿宋" w:eastAsia="仿宋" w:cs="仿宋"/>
                <w:b/>
                <w:bCs/>
                <w:color w:val="auto"/>
                <w:sz w:val="28"/>
                <w:szCs w:val="28"/>
                <w:highlight w:val="none"/>
                <w:u w:val="single"/>
              </w:rPr>
              <w:t>公告并组织开展</w:t>
            </w:r>
            <w:r>
              <w:rPr>
                <w:rFonts w:hint="eastAsia" w:ascii="仿宋" w:hAnsi="仿宋" w:eastAsia="仿宋" w:cs="仿宋"/>
                <w:b/>
                <w:bCs/>
                <w:color w:val="auto"/>
                <w:sz w:val="28"/>
                <w:szCs w:val="28"/>
                <w:highlight w:val="none"/>
                <w:u w:val="single"/>
                <w:lang w:eastAsia="zh-CN"/>
              </w:rPr>
              <w:t>评审</w:t>
            </w:r>
            <w:r>
              <w:rPr>
                <w:rFonts w:hint="eastAsia" w:ascii="仿宋" w:hAnsi="仿宋" w:eastAsia="仿宋" w:cs="仿宋"/>
                <w:b/>
                <w:bCs/>
                <w:color w:val="auto"/>
                <w:sz w:val="28"/>
                <w:szCs w:val="28"/>
                <w:highlight w:val="none"/>
                <w:u w:val="single"/>
              </w:rPr>
              <w:t>活动。</w:t>
            </w:r>
          </w:p>
          <w:p w14:paraId="4F771221">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（章）</w:t>
            </w:r>
          </w:p>
          <w:p w14:paraId="54F0AB98">
            <w:pPr>
              <w:rPr>
                <w:rFonts w:hint="eastAsia" w:ascii="仿宋" w:hAnsi="仿宋" w:eastAsia="仿宋" w:cs="仿宋"/>
                <w:color w:val="auto"/>
                <w:sz w:val="28"/>
                <w:szCs w:val="28"/>
                <w:highlight w:val="none"/>
              </w:rPr>
            </w:pPr>
          </w:p>
          <w:p w14:paraId="111E29E9">
            <w:pPr>
              <w:rPr>
                <w:rFonts w:hint="eastAsia" w:ascii="仿宋" w:hAnsi="仿宋" w:eastAsia="仿宋" w:cs="仿宋"/>
                <w:color w:val="auto"/>
                <w:sz w:val="28"/>
                <w:szCs w:val="28"/>
                <w:highlight w:val="none"/>
              </w:rPr>
            </w:pPr>
          </w:p>
          <w:p w14:paraId="1A8B2D8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法定代表人或经办人（签字或盖章）：</w:t>
            </w:r>
          </w:p>
          <w:p w14:paraId="2CAADDF4">
            <w:pPr>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bl>
    <w:p w14:paraId="4C11F31A">
      <w:pPr>
        <w:rPr>
          <w:rFonts w:hint="eastAsia" w:ascii="仿宋" w:hAnsi="仿宋" w:eastAsia="仿宋" w:cs="仿宋"/>
          <w:color w:val="auto"/>
          <w:highlight w:val="none"/>
        </w:rPr>
      </w:pPr>
    </w:p>
    <w:p w14:paraId="2CAC5E75">
      <w:pPr>
        <w:pStyle w:val="9"/>
        <w:rPr>
          <w:rFonts w:hint="eastAsia" w:ascii="仿宋" w:hAnsi="仿宋" w:eastAsia="仿宋" w:cs="仿宋"/>
          <w:color w:val="auto"/>
          <w:highlight w:val="none"/>
        </w:rPr>
      </w:pPr>
    </w:p>
    <w:p w14:paraId="48E834F1">
      <w:pPr>
        <w:rPr>
          <w:rFonts w:hint="eastAsia" w:ascii="仿宋" w:hAnsi="仿宋" w:eastAsia="仿宋" w:cs="仿宋"/>
          <w:color w:val="auto"/>
          <w:highlight w:val="none"/>
        </w:rPr>
      </w:pPr>
    </w:p>
    <w:p w14:paraId="0C0CFFC6">
      <w:pPr>
        <w:pStyle w:val="9"/>
        <w:rPr>
          <w:rFonts w:hint="eastAsia" w:ascii="仿宋" w:hAnsi="仿宋" w:eastAsia="仿宋" w:cs="仿宋"/>
          <w:color w:val="auto"/>
          <w:highlight w:val="none"/>
        </w:rPr>
      </w:pPr>
    </w:p>
    <w:p w14:paraId="5738C286">
      <w:pPr>
        <w:rPr>
          <w:rFonts w:hint="eastAsia" w:ascii="仿宋" w:hAnsi="仿宋" w:eastAsia="仿宋" w:cs="仿宋"/>
          <w:color w:val="auto"/>
          <w:highlight w:val="none"/>
        </w:rPr>
      </w:pPr>
    </w:p>
    <w:p w14:paraId="1E4E92BD">
      <w:pPr>
        <w:pStyle w:val="9"/>
        <w:rPr>
          <w:rFonts w:hint="eastAsia" w:ascii="仿宋" w:hAnsi="仿宋" w:eastAsia="仿宋" w:cs="仿宋"/>
          <w:color w:val="auto"/>
          <w:highlight w:val="none"/>
        </w:rPr>
      </w:pPr>
    </w:p>
    <w:p w14:paraId="4A6DC9CD">
      <w:pPr>
        <w:pStyle w:val="9"/>
        <w:ind w:left="0"/>
        <w:rPr>
          <w:rFonts w:hint="eastAsia" w:ascii="仿宋" w:hAnsi="仿宋" w:eastAsia="仿宋" w:cs="仿宋"/>
          <w:color w:val="auto"/>
          <w:highlight w:val="none"/>
        </w:rPr>
      </w:pPr>
    </w:p>
    <w:sectPr>
      <w:headerReference r:id="rId16" w:type="default"/>
      <w:footerReference r:id="rId17" w:type="default"/>
      <w:pgSz w:w="11900" w:h="16838"/>
      <w:pgMar w:top="1440" w:right="1440" w:bottom="1440" w:left="1440" w:header="737" w:footer="454"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10AF">
    <w:pPr>
      <w:pStyle w:val="15"/>
      <w:tabs>
        <w:tab w:val="right" w:pos="8580"/>
        <w:tab w:val="clear" w:pos="8306"/>
      </w:tabs>
      <w:rPr>
        <w:rFonts w:ascii="仿宋" w:hAnsi="仿宋" w:cs="仿宋"/>
      </w:rPr>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FA6227">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rd0p8OIBAADNAwAADgAA&#10;AAAAAAABACAAAAAeAQAAZHJzL2Uyb0RvYy54bWxQSwUGAAAAAAYABgBZAQAAcgUAAAAA&#10;">
              <v:fill on="f" focussize="0,0"/>
              <v:stroke on="f"/>
              <v:imagedata o:title=""/>
              <o:lock v:ext="edit" aspectratio="f"/>
              <v:textbox inset="0mm,0mm,0mm,0mm" style="mso-fit-shape-to-text:t;">
                <w:txbxContent>
                  <w:p w14:paraId="56FA6227">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A5D0">
    <w:pPr>
      <w:pStyle w:val="15"/>
      <w:tabs>
        <w:tab w:val="right" w:pos="8580"/>
        <w:tab w:val="clear" w:pos="8306"/>
      </w:tabs>
      <w:rPr>
        <w:rFonts w:ascii="仿宋" w:hAnsi="仿宋" w:cs="仿宋"/>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31610E">
                          <w:pPr>
                            <w:pStyle w:val="1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ZmBsOIBAADNAwAADgAA&#10;AAAAAAABACAAAAAeAQAAZHJzL2Uyb0RvYy54bWxQSwUGAAAAAAYABgBZAQAAcgUAAAAA&#10;">
              <v:fill on="f" focussize="0,0"/>
              <v:stroke on="f"/>
              <v:imagedata o:title=""/>
              <o:lock v:ext="edit" aspectratio="f"/>
              <v:textbox inset="0mm,0mm,0mm,0mm" style="mso-fit-shape-to-text:t;">
                <w:txbxContent>
                  <w:p w14:paraId="7031610E">
                    <w:pPr>
                      <w:pStyle w:val="1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27DE5">
    <w:pPr>
      <w:spacing w:line="176" w:lineRule="auto"/>
      <w:ind w:left="42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0F174">
                          <w:pPr>
                            <w:pStyle w:val="1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4A00F174">
                    <w:pPr>
                      <w:pStyle w:val="1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04FA8">
    <w:pPr>
      <w:spacing w:line="176" w:lineRule="auto"/>
      <w:ind w:left="70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4A62C">
                          <w:pPr>
                            <w:pStyle w:val="1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RzL80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Ecy/NAIAAGUEAAAOAAAAAAAAAAEAIAAAAB8BAABkcnMvZTJvRG9jLnhtbFBL&#10;BQYAAAAABgAGAFkBAADFBQAAAAA=&#10;">
              <v:fill on="f" focussize="0,0"/>
              <v:stroke on="f" weight="0.5pt"/>
              <v:imagedata o:title=""/>
              <o:lock v:ext="edit" aspectratio="f"/>
              <v:textbox inset="0mm,0mm,0mm,0mm" style="mso-fit-shape-to-text:t;">
                <w:txbxContent>
                  <w:p w14:paraId="3124A62C">
                    <w:pPr>
                      <w:pStyle w:val="1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7B6C4">
    <w:pPr>
      <w:pStyle w:val="1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8B4DF0">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0B4+zuIBAADNAwAADgAA&#10;AAAAAAABACAAAAAeAQAAZHJzL2Uyb0RvYy54bWxQSwUGAAAAAAYABgBZAQAAcgUAAAAA&#10;">
              <v:fill on="f" focussize="0,0"/>
              <v:stroke on="f"/>
              <v:imagedata o:title=""/>
              <o:lock v:ext="edit" aspectratio="f"/>
              <v:textbox inset="0mm,0mm,0mm,0mm" style="mso-fit-shape-to-text:t;">
                <w:txbxContent>
                  <w:p w14:paraId="5C8B4DF0">
                    <w:pPr>
                      <w:pStyle w:val="15"/>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5E2C6">
    <w:pPr>
      <w:spacing w:line="196" w:lineRule="auto"/>
      <w:ind w:left="4367"/>
      <w:rPr>
        <w:rFonts w:eastAsia="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8E2642">
                          <w:pPr>
                            <w:pStyle w:val="1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N5oE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oUQzhY6ffnw/&#10;/Xw4/fpGcAeBWutniLu3iAzdO9NhbIZ7j8vIu6ucir9gROCHvMeLvKILhMdH08l0msPF4RsOwM8e&#10;n1vnw3thFIlGQR36l2Rlh40PfegQErNps26kTD2UmrQg8fpt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qN5oE5AgAAcQQAAA4AAAAAAAAAAQAgAAAAHwEAAGRycy9lMm9Eb2Mu&#10;eG1sUEsFBgAAAAAGAAYAWQEAAMoFAAAAAA==&#10;">
              <v:fill on="f" focussize="0,0"/>
              <v:stroke on="f" weight="0.5pt"/>
              <v:imagedata o:title=""/>
              <o:lock v:ext="edit" aspectratio="f"/>
              <v:textbox inset="0mm,0mm,0mm,0mm" style="mso-fit-shape-to-text:t;">
                <w:txbxContent>
                  <w:p w14:paraId="4F8E2642">
                    <w:pPr>
                      <w:pStyle w:val="1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45831">
    <w:pPr>
      <w:spacing w:line="176" w:lineRule="auto"/>
      <w:ind w:left="4872"/>
      <w:rPr>
        <w:rFonts w:ascii="Times New Roman" w:hAnsi="Times New Roman"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C10287">
                          <w:pPr>
                            <w:pStyle w:val="1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Er5I5AgAAc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ZEr5I5AgAAcQQAAA4AAAAAAAAAAQAgAAAAHwEAAGRycy9lMm9Eb2Mu&#10;eG1sUEsFBgAAAAAGAAYAWQEAAMoFAAAAAA==&#10;">
              <v:fill on="f" focussize="0,0"/>
              <v:stroke on="f" weight="0.5pt"/>
              <v:imagedata o:title=""/>
              <o:lock v:ext="edit" aspectratio="f"/>
              <v:textbox inset="0mm,0mm,0mm,0mm" style="mso-fit-shape-to-text:t;">
                <w:txbxContent>
                  <w:p w14:paraId="12C10287">
                    <w:pPr>
                      <w:pStyle w:val="1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3370">
    <w:pPr>
      <w:pStyle w:val="15"/>
      <w:tabs>
        <w:tab w:val="right" w:pos="8580"/>
        <w:tab w:val="clear" w:pos="8306"/>
      </w:tabs>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FADB66">
                          <w:pPr>
                            <w:pStyle w:val="15"/>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C+xmSLjAQAAzQMAAA4A&#10;AAAAAAAAAQAgAAAAHgEAAGRycy9lMm9Eb2MueG1sUEsFBgAAAAAGAAYAWQEAAHMFAAAAAA==&#10;">
              <v:fill on="f" focussize="0,0"/>
              <v:stroke on="f"/>
              <v:imagedata o:title=""/>
              <o:lock v:ext="edit" aspectratio="f"/>
              <v:textbox inset="0mm,0mm,0mm,0mm" style="mso-fit-shape-to-text:t;">
                <w:txbxContent>
                  <w:p w14:paraId="70FADB66">
                    <w:pPr>
                      <w:pStyle w:val="15"/>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00A200">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VFaAyAgAAZA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lUVoDICAABkBAAADgAAAAAAAAABACAAAAAfAQAAZHJzL2Uyb0RvYy54bWxQSwUG&#10;AAAAAAYABgBZAQAAwwUAAAAA&#10;">
              <v:fill on="f" focussize="0,0"/>
              <v:stroke on="f" weight="0.5pt"/>
              <v:imagedata o:title=""/>
              <o:lock v:ext="edit" aspectratio="f"/>
              <v:textbox inset="0mm,0mm,0mm,0mm" style="mso-fit-shape-to-text:t;">
                <w:txbxContent>
                  <w:p w14:paraId="2C00A200">
                    <w:pPr>
                      <w:pStyle w:val="1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27A1">
    <w:pPr>
      <w:pStyle w:val="16"/>
      <w:tabs>
        <w:tab w:val="right" w:pos="9020"/>
        <w:tab w:val="clear" w:pos="8306"/>
      </w:tabs>
      <w:ind w:right="-751" w:rightChars="-313"/>
      <w:rPr>
        <w:rFonts w:ascii="仿宋" w:hAnsi="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85F5">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246D">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23ED">
    <w:pPr>
      <w:pStyle w:val="16"/>
      <w:ind w:left="400" w:leftChars="-100" w:right="-480" w:rightChars="-200" w:hanging="640"/>
      <w:jc w:val="center"/>
      <w:rPr>
        <w:rFonts w:ascii="仿宋" w:hAnsi="仿宋" w:cs="仿宋"/>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F164">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193EF"/>
    <w:multiLevelType w:val="singleLevel"/>
    <w:tmpl w:val="8E0193EF"/>
    <w:lvl w:ilvl="0" w:tentative="0">
      <w:start w:val="1"/>
      <w:numFmt w:val="chineseCounting"/>
      <w:suff w:val="space"/>
      <w:lvlText w:val="第%1章"/>
      <w:lvlJc w:val="left"/>
      <w:rPr>
        <w:rFonts w:hint="eastAsia"/>
      </w:rPr>
    </w:lvl>
  </w:abstractNum>
  <w:abstractNum w:abstractNumId="1">
    <w:nsid w:val="A66A3E27"/>
    <w:multiLevelType w:val="singleLevel"/>
    <w:tmpl w:val="A66A3E27"/>
    <w:lvl w:ilvl="0" w:tentative="0">
      <w:start w:val="3"/>
      <w:numFmt w:val="chineseCounting"/>
      <w:suff w:val="nothing"/>
      <w:lvlText w:val="%1、"/>
      <w:lvlJc w:val="left"/>
      <w:rPr>
        <w:rFonts w:hint="eastAsia"/>
      </w:rPr>
    </w:lvl>
  </w:abstractNum>
  <w:abstractNum w:abstractNumId="2">
    <w:nsid w:val="E377FAD3"/>
    <w:multiLevelType w:val="singleLevel"/>
    <w:tmpl w:val="E377FAD3"/>
    <w:lvl w:ilvl="0" w:tentative="0">
      <w:start w:val="1"/>
      <w:numFmt w:val="chineseCounting"/>
      <w:suff w:val="nothing"/>
      <w:lvlText w:val="（%1）"/>
      <w:lvlJc w:val="left"/>
      <w:pPr>
        <w:ind w:left="0" w:firstLine="420"/>
      </w:pPr>
      <w:rPr>
        <w:rFonts w:hint="eastAsia"/>
      </w:rPr>
    </w:lvl>
  </w:abstractNum>
  <w:abstractNum w:abstractNumId="3">
    <w:nsid w:val="E5E3C9C7"/>
    <w:multiLevelType w:val="singleLevel"/>
    <w:tmpl w:val="E5E3C9C7"/>
    <w:lvl w:ilvl="0" w:tentative="0">
      <w:start w:val="1"/>
      <w:numFmt w:val="decimal"/>
      <w:suff w:val="nothing"/>
      <w:lvlText w:val="%1、"/>
      <w:lvlJc w:val="left"/>
    </w:lvl>
  </w:abstractNum>
  <w:abstractNum w:abstractNumId="4">
    <w:nsid w:val="FCBBC14C"/>
    <w:multiLevelType w:val="singleLevel"/>
    <w:tmpl w:val="FCBBC14C"/>
    <w:lvl w:ilvl="0" w:tentative="0">
      <w:start w:val="1"/>
      <w:numFmt w:val="chineseCounting"/>
      <w:suff w:val="nothing"/>
      <w:lvlText w:val="（%1）"/>
      <w:lvlJc w:val="left"/>
      <w:pPr>
        <w:ind w:left="0" w:firstLine="420"/>
      </w:pPr>
      <w:rPr>
        <w:rFonts w:hint="eastAsia"/>
      </w:rPr>
    </w:lvl>
  </w:abstractNum>
  <w:abstractNum w:abstractNumId="5">
    <w:nsid w:val="03255D60"/>
    <w:multiLevelType w:val="multilevel"/>
    <w:tmpl w:val="03255D60"/>
    <w:lvl w:ilvl="0" w:tentative="0">
      <w:start w:val="1"/>
      <w:numFmt w:val="bullet"/>
      <w:pStyle w:val="60"/>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1370619"/>
    <w:multiLevelType w:val="singleLevel"/>
    <w:tmpl w:val="11370619"/>
    <w:lvl w:ilvl="0" w:tentative="0">
      <w:start w:val="1"/>
      <w:numFmt w:val="decimal"/>
      <w:suff w:val="nothing"/>
      <w:lvlText w:val="（%1）"/>
      <w:lvlJc w:val="left"/>
    </w:lvl>
  </w:abstractNum>
  <w:abstractNum w:abstractNumId="7">
    <w:nsid w:val="1DE7ADE1"/>
    <w:multiLevelType w:val="singleLevel"/>
    <w:tmpl w:val="1DE7ADE1"/>
    <w:lvl w:ilvl="0" w:tentative="0">
      <w:start w:val="1"/>
      <w:numFmt w:val="chineseCounting"/>
      <w:suff w:val="nothing"/>
      <w:lvlText w:val="（%1）"/>
      <w:lvlJc w:val="left"/>
      <w:pPr>
        <w:ind w:left="0" w:firstLine="420"/>
      </w:pPr>
      <w:rPr>
        <w:rFonts w:hint="eastAsia"/>
      </w:rPr>
    </w:lvl>
  </w:abstractNum>
  <w:num w:numId="1">
    <w:abstractNumId w:val="5"/>
  </w:num>
  <w:num w:numId="2">
    <w:abstractNumId w:val="0"/>
  </w:num>
  <w:num w:numId="3">
    <w:abstractNumId w:val="4"/>
  </w:num>
  <w:num w:numId="4">
    <w:abstractNumId w:val="2"/>
  </w:num>
  <w:num w:numId="5">
    <w:abstractNumId w:val="7"/>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kMDFmMWJiMDE4OTEzMjA3NDM1NWI0MmMyMDA3ZTYifQ=="/>
    <w:docVar w:name="KSO_WPS_MARK_KEY" w:val="87ecfab3-7291-4fee-9228-11bbc6da9d38"/>
  </w:docVars>
  <w:rsids>
    <w:rsidRoot w:val="4B5E2EFA"/>
    <w:rsid w:val="000007DF"/>
    <w:rsid w:val="0000301B"/>
    <w:rsid w:val="000255ED"/>
    <w:rsid w:val="000269CA"/>
    <w:rsid w:val="00034833"/>
    <w:rsid w:val="00041789"/>
    <w:rsid w:val="0006424D"/>
    <w:rsid w:val="00066C0A"/>
    <w:rsid w:val="00066FE9"/>
    <w:rsid w:val="00071EAC"/>
    <w:rsid w:val="0008194A"/>
    <w:rsid w:val="00084FEB"/>
    <w:rsid w:val="00086E8B"/>
    <w:rsid w:val="00092C12"/>
    <w:rsid w:val="00093986"/>
    <w:rsid w:val="000B2646"/>
    <w:rsid w:val="000B4681"/>
    <w:rsid w:val="000B4BF5"/>
    <w:rsid w:val="000B74E4"/>
    <w:rsid w:val="000C2EBD"/>
    <w:rsid w:val="000C52C9"/>
    <w:rsid w:val="000D2830"/>
    <w:rsid w:val="000E1AB9"/>
    <w:rsid w:val="000E20BD"/>
    <w:rsid w:val="0013524D"/>
    <w:rsid w:val="0014130E"/>
    <w:rsid w:val="00155053"/>
    <w:rsid w:val="00157863"/>
    <w:rsid w:val="00157BD2"/>
    <w:rsid w:val="00176F82"/>
    <w:rsid w:val="00187149"/>
    <w:rsid w:val="00197EF5"/>
    <w:rsid w:val="001D5544"/>
    <w:rsid w:val="001E4812"/>
    <w:rsid w:val="001F22B4"/>
    <w:rsid w:val="00202566"/>
    <w:rsid w:val="00225B6E"/>
    <w:rsid w:val="002511A7"/>
    <w:rsid w:val="00264E72"/>
    <w:rsid w:val="00291A30"/>
    <w:rsid w:val="002930A8"/>
    <w:rsid w:val="00293554"/>
    <w:rsid w:val="002A78AC"/>
    <w:rsid w:val="002A79D6"/>
    <w:rsid w:val="002B430A"/>
    <w:rsid w:val="002C2E61"/>
    <w:rsid w:val="002C7D52"/>
    <w:rsid w:val="002E7A7C"/>
    <w:rsid w:val="002F1B0F"/>
    <w:rsid w:val="00346687"/>
    <w:rsid w:val="00350963"/>
    <w:rsid w:val="003A0EAE"/>
    <w:rsid w:val="003A712D"/>
    <w:rsid w:val="003B02E1"/>
    <w:rsid w:val="003B5B26"/>
    <w:rsid w:val="003C5F2F"/>
    <w:rsid w:val="003D300C"/>
    <w:rsid w:val="003D345F"/>
    <w:rsid w:val="003E3025"/>
    <w:rsid w:val="003F3FB9"/>
    <w:rsid w:val="0040245A"/>
    <w:rsid w:val="00440808"/>
    <w:rsid w:val="0047366F"/>
    <w:rsid w:val="00494E9E"/>
    <w:rsid w:val="004A1F08"/>
    <w:rsid w:val="004B50B7"/>
    <w:rsid w:val="004E1A1B"/>
    <w:rsid w:val="004E2987"/>
    <w:rsid w:val="005257F2"/>
    <w:rsid w:val="00534C32"/>
    <w:rsid w:val="00570723"/>
    <w:rsid w:val="005936DD"/>
    <w:rsid w:val="005C1F9A"/>
    <w:rsid w:val="005C7A04"/>
    <w:rsid w:val="005D5464"/>
    <w:rsid w:val="00617FB9"/>
    <w:rsid w:val="00647476"/>
    <w:rsid w:val="0066690E"/>
    <w:rsid w:val="00673D14"/>
    <w:rsid w:val="00674AD0"/>
    <w:rsid w:val="00695290"/>
    <w:rsid w:val="006A0E5D"/>
    <w:rsid w:val="006C3EC1"/>
    <w:rsid w:val="006D36CB"/>
    <w:rsid w:val="006F06E8"/>
    <w:rsid w:val="00713D3D"/>
    <w:rsid w:val="00715D27"/>
    <w:rsid w:val="0072566B"/>
    <w:rsid w:val="00731562"/>
    <w:rsid w:val="00733BC8"/>
    <w:rsid w:val="0078564B"/>
    <w:rsid w:val="00787827"/>
    <w:rsid w:val="0079145F"/>
    <w:rsid w:val="007C2EF6"/>
    <w:rsid w:val="007C7E26"/>
    <w:rsid w:val="007E3B1B"/>
    <w:rsid w:val="007F6FAD"/>
    <w:rsid w:val="00806C52"/>
    <w:rsid w:val="00830735"/>
    <w:rsid w:val="008773AB"/>
    <w:rsid w:val="00885BC3"/>
    <w:rsid w:val="0089239B"/>
    <w:rsid w:val="00894F6B"/>
    <w:rsid w:val="008B64E5"/>
    <w:rsid w:val="008D5D03"/>
    <w:rsid w:val="008D6703"/>
    <w:rsid w:val="008F01AB"/>
    <w:rsid w:val="008F20EA"/>
    <w:rsid w:val="008F21C1"/>
    <w:rsid w:val="00942CD3"/>
    <w:rsid w:val="0094633F"/>
    <w:rsid w:val="00954AAD"/>
    <w:rsid w:val="009659C3"/>
    <w:rsid w:val="00980E26"/>
    <w:rsid w:val="00984C73"/>
    <w:rsid w:val="009958B4"/>
    <w:rsid w:val="009E3F88"/>
    <w:rsid w:val="00A065F1"/>
    <w:rsid w:val="00A21C69"/>
    <w:rsid w:val="00A227D3"/>
    <w:rsid w:val="00A30AC7"/>
    <w:rsid w:val="00A57AA8"/>
    <w:rsid w:val="00A6063B"/>
    <w:rsid w:val="00A72210"/>
    <w:rsid w:val="00A85EE9"/>
    <w:rsid w:val="00AB1234"/>
    <w:rsid w:val="00AB3975"/>
    <w:rsid w:val="00AD1956"/>
    <w:rsid w:val="00AD5376"/>
    <w:rsid w:val="00AD56CB"/>
    <w:rsid w:val="00AE1D33"/>
    <w:rsid w:val="00AF3886"/>
    <w:rsid w:val="00B07E77"/>
    <w:rsid w:val="00B12A2D"/>
    <w:rsid w:val="00B173DD"/>
    <w:rsid w:val="00B253C4"/>
    <w:rsid w:val="00B30194"/>
    <w:rsid w:val="00B74B31"/>
    <w:rsid w:val="00B94ED7"/>
    <w:rsid w:val="00BA6E7C"/>
    <w:rsid w:val="00BB3723"/>
    <w:rsid w:val="00BC46E1"/>
    <w:rsid w:val="00BD23E2"/>
    <w:rsid w:val="00C04317"/>
    <w:rsid w:val="00C27C5C"/>
    <w:rsid w:val="00C37D37"/>
    <w:rsid w:val="00C71B43"/>
    <w:rsid w:val="00C928F6"/>
    <w:rsid w:val="00CB6BFE"/>
    <w:rsid w:val="00CC092F"/>
    <w:rsid w:val="00CD7E52"/>
    <w:rsid w:val="00CE107F"/>
    <w:rsid w:val="00D03263"/>
    <w:rsid w:val="00D3078C"/>
    <w:rsid w:val="00D53604"/>
    <w:rsid w:val="00D665B9"/>
    <w:rsid w:val="00D73B4E"/>
    <w:rsid w:val="00D90809"/>
    <w:rsid w:val="00D96175"/>
    <w:rsid w:val="00DA2D7E"/>
    <w:rsid w:val="00DD2214"/>
    <w:rsid w:val="00DD795B"/>
    <w:rsid w:val="00DE7F70"/>
    <w:rsid w:val="00E3362A"/>
    <w:rsid w:val="00E5793E"/>
    <w:rsid w:val="00E65EB4"/>
    <w:rsid w:val="00E70372"/>
    <w:rsid w:val="00E7628A"/>
    <w:rsid w:val="00EA42B3"/>
    <w:rsid w:val="00ED17C2"/>
    <w:rsid w:val="00EF149A"/>
    <w:rsid w:val="00F3090F"/>
    <w:rsid w:val="00F523D2"/>
    <w:rsid w:val="00F86606"/>
    <w:rsid w:val="00F86DAA"/>
    <w:rsid w:val="00F962E0"/>
    <w:rsid w:val="00FA3838"/>
    <w:rsid w:val="011850E8"/>
    <w:rsid w:val="01267C64"/>
    <w:rsid w:val="01680DEF"/>
    <w:rsid w:val="016C3E89"/>
    <w:rsid w:val="017044BF"/>
    <w:rsid w:val="01717214"/>
    <w:rsid w:val="01852E5B"/>
    <w:rsid w:val="018C3C85"/>
    <w:rsid w:val="01934DC8"/>
    <w:rsid w:val="01A85D51"/>
    <w:rsid w:val="01E307E2"/>
    <w:rsid w:val="02040233"/>
    <w:rsid w:val="021E4371"/>
    <w:rsid w:val="022C1B80"/>
    <w:rsid w:val="02317735"/>
    <w:rsid w:val="02623376"/>
    <w:rsid w:val="02675259"/>
    <w:rsid w:val="02AE478C"/>
    <w:rsid w:val="02B349AE"/>
    <w:rsid w:val="02BE2F2A"/>
    <w:rsid w:val="02DF70B8"/>
    <w:rsid w:val="02E57BE3"/>
    <w:rsid w:val="033E2592"/>
    <w:rsid w:val="035A307B"/>
    <w:rsid w:val="036C34DA"/>
    <w:rsid w:val="03710F49"/>
    <w:rsid w:val="037232BE"/>
    <w:rsid w:val="03974DEF"/>
    <w:rsid w:val="03EB1660"/>
    <w:rsid w:val="04096F7B"/>
    <w:rsid w:val="04362A20"/>
    <w:rsid w:val="04390DDD"/>
    <w:rsid w:val="04A021F5"/>
    <w:rsid w:val="04A573F0"/>
    <w:rsid w:val="04BC2E83"/>
    <w:rsid w:val="04BF3ADE"/>
    <w:rsid w:val="04CF55E5"/>
    <w:rsid w:val="04E741BE"/>
    <w:rsid w:val="04EB28C0"/>
    <w:rsid w:val="04FC6AE0"/>
    <w:rsid w:val="04FF5F6D"/>
    <w:rsid w:val="052F7C1A"/>
    <w:rsid w:val="0542198D"/>
    <w:rsid w:val="054A018D"/>
    <w:rsid w:val="054C0F5B"/>
    <w:rsid w:val="054F1BD1"/>
    <w:rsid w:val="056D3BB7"/>
    <w:rsid w:val="058F039B"/>
    <w:rsid w:val="05C45670"/>
    <w:rsid w:val="05D27E3C"/>
    <w:rsid w:val="05F81055"/>
    <w:rsid w:val="064F3DB2"/>
    <w:rsid w:val="068153BB"/>
    <w:rsid w:val="06B316EE"/>
    <w:rsid w:val="06B41BFD"/>
    <w:rsid w:val="06C035B2"/>
    <w:rsid w:val="06CA119A"/>
    <w:rsid w:val="06D303C6"/>
    <w:rsid w:val="06EB75DB"/>
    <w:rsid w:val="06EC6D6C"/>
    <w:rsid w:val="07201BD8"/>
    <w:rsid w:val="072336AB"/>
    <w:rsid w:val="072D1AFF"/>
    <w:rsid w:val="07435346"/>
    <w:rsid w:val="0761197B"/>
    <w:rsid w:val="0768129A"/>
    <w:rsid w:val="077328F5"/>
    <w:rsid w:val="077446C5"/>
    <w:rsid w:val="077A168C"/>
    <w:rsid w:val="079528D4"/>
    <w:rsid w:val="07A35F5D"/>
    <w:rsid w:val="07A83DD5"/>
    <w:rsid w:val="07DB0C2F"/>
    <w:rsid w:val="07DD06CD"/>
    <w:rsid w:val="07EA53A1"/>
    <w:rsid w:val="07EB35D4"/>
    <w:rsid w:val="08233744"/>
    <w:rsid w:val="082C578A"/>
    <w:rsid w:val="083B66EE"/>
    <w:rsid w:val="084A36E2"/>
    <w:rsid w:val="08631A4F"/>
    <w:rsid w:val="08637B37"/>
    <w:rsid w:val="08DA7138"/>
    <w:rsid w:val="08DF08CB"/>
    <w:rsid w:val="08F87FC6"/>
    <w:rsid w:val="09257B0D"/>
    <w:rsid w:val="093C2132"/>
    <w:rsid w:val="093E7FD7"/>
    <w:rsid w:val="09A339CE"/>
    <w:rsid w:val="09B103AB"/>
    <w:rsid w:val="09CA2FF2"/>
    <w:rsid w:val="09CD7EFF"/>
    <w:rsid w:val="09E244F6"/>
    <w:rsid w:val="09FB56C3"/>
    <w:rsid w:val="09FC434C"/>
    <w:rsid w:val="0A1918B3"/>
    <w:rsid w:val="0A242BA9"/>
    <w:rsid w:val="0A332A12"/>
    <w:rsid w:val="0A391C3C"/>
    <w:rsid w:val="0A4746AB"/>
    <w:rsid w:val="0A4D42E6"/>
    <w:rsid w:val="0A555BAB"/>
    <w:rsid w:val="0A601F20"/>
    <w:rsid w:val="0A71459D"/>
    <w:rsid w:val="0A990F3B"/>
    <w:rsid w:val="0AA11724"/>
    <w:rsid w:val="0AB5094B"/>
    <w:rsid w:val="0AC37758"/>
    <w:rsid w:val="0AFC73AF"/>
    <w:rsid w:val="0B111C58"/>
    <w:rsid w:val="0B1C57E6"/>
    <w:rsid w:val="0B2372DD"/>
    <w:rsid w:val="0B720882"/>
    <w:rsid w:val="0BFB77BC"/>
    <w:rsid w:val="0C246516"/>
    <w:rsid w:val="0C281A55"/>
    <w:rsid w:val="0C2E41CA"/>
    <w:rsid w:val="0C332796"/>
    <w:rsid w:val="0C3711DF"/>
    <w:rsid w:val="0C4A240C"/>
    <w:rsid w:val="0C4C7E2F"/>
    <w:rsid w:val="0C5F39A1"/>
    <w:rsid w:val="0C8C3EE5"/>
    <w:rsid w:val="0C9D629A"/>
    <w:rsid w:val="0CD345CA"/>
    <w:rsid w:val="0CE27E7F"/>
    <w:rsid w:val="0D554FDF"/>
    <w:rsid w:val="0D576FA9"/>
    <w:rsid w:val="0D8B7F90"/>
    <w:rsid w:val="0DBD18C1"/>
    <w:rsid w:val="0DE53C36"/>
    <w:rsid w:val="0E583DC0"/>
    <w:rsid w:val="0E8A0204"/>
    <w:rsid w:val="0EA32F3A"/>
    <w:rsid w:val="0EF421E4"/>
    <w:rsid w:val="0F0E620A"/>
    <w:rsid w:val="0F2A60E7"/>
    <w:rsid w:val="0F3550C8"/>
    <w:rsid w:val="0F4C5B13"/>
    <w:rsid w:val="0F4E6DBB"/>
    <w:rsid w:val="0F4E7F38"/>
    <w:rsid w:val="0F65065B"/>
    <w:rsid w:val="0F9065C2"/>
    <w:rsid w:val="0FB44345"/>
    <w:rsid w:val="0FBD5FA8"/>
    <w:rsid w:val="0FC52D16"/>
    <w:rsid w:val="0FCD4AB4"/>
    <w:rsid w:val="0FF82564"/>
    <w:rsid w:val="10242D0C"/>
    <w:rsid w:val="10271429"/>
    <w:rsid w:val="10365EC3"/>
    <w:rsid w:val="10533CB6"/>
    <w:rsid w:val="10596267"/>
    <w:rsid w:val="10AF0EAA"/>
    <w:rsid w:val="10DF4966"/>
    <w:rsid w:val="10FF366E"/>
    <w:rsid w:val="11065085"/>
    <w:rsid w:val="110B0ECD"/>
    <w:rsid w:val="11606FA7"/>
    <w:rsid w:val="11622265"/>
    <w:rsid w:val="118A57B1"/>
    <w:rsid w:val="11AF782D"/>
    <w:rsid w:val="11B9581F"/>
    <w:rsid w:val="11C444BD"/>
    <w:rsid w:val="11F2033F"/>
    <w:rsid w:val="11F57E8D"/>
    <w:rsid w:val="123A5713"/>
    <w:rsid w:val="12475838"/>
    <w:rsid w:val="124D554F"/>
    <w:rsid w:val="12581A0E"/>
    <w:rsid w:val="126F0626"/>
    <w:rsid w:val="129C7AD6"/>
    <w:rsid w:val="12B46304"/>
    <w:rsid w:val="12C64C02"/>
    <w:rsid w:val="12C72684"/>
    <w:rsid w:val="12C86253"/>
    <w:rsid w:val="12D75DF8"/>
    <w:rsid w:val="12E22C37"/>
    <w:rsid w:val="12EC2F2C"/>
    <w:rsid w:val="130B2070"/>
    <w:rsid w:val="13696981"/>
    <w:rsid w:val="136F4921"/>
    <w:rsid w:val="13820A75"/>
    <w:rsid w:val="139847FB"/>
    <w:rsid w:val="13B54AFB"/>
    <w:rsid w:val="13BE4672"/>
    <w:rsid w:val="13D34828"/>
    <w:rsid w:val="13E44745"/>
    <w:rsid w:val="13FC78B3"/>
    <w:rsid w:val="14327232"/>
    <w:rsid w:val="14706D9D"/>
    <w:rsid w:val="14E93F61"/>
    <w:rsid w:val="15424DBF"/>
    <w:rsid w:val="159D5BE8"/>
    <w:rsid w:val="15C36109"/>
    <w:rsid w:val="15D24A96"/>
    <w:rsid w:val="15E23D37"/>
    <w:rsid w:val="15EC4BD8"/>
    <w:rsid w:val="15EF4A2E"/>
    <w:rsid w:val="160838F8"/>
    <w:rsid w:val="161D0664"/>
    <w:rsid w:val="16200865"/>
    <w:rsid w:val="162402D3"/>
    <w:rsid w:val="166F2D7B"/>
    <w:rsid w:val="168739DE"/>
    <w:rsid w:val="169C779D"/>
    <w:rsid w:val="16E018AB"/>
    <w:rsid w:val="16F94AD6"/>
    <w:rsid w:val="16FF7088"/>
    <w:rsid w:val="1702544D"/>
    <w:rsid w:val="171D6424"/>
    <w:rsid w:val="172D4499"/>
    <w:rsid w:val="172F4AF3"/>
    <w:rsid w:val="1738042E"/>
    <w:rsid w:val="173B06F6"/>
    <w:rsid w:val="173F0F57"/>
    <w:rsid w:val="1759309E"/>
    <w:rsid w:val="17796A8E"/>
    <w:rsid w:val="177C4033"/>
    <w:rsid w:val="1792118B"/>
    <w:rsid w:val="17B50A6C"/>
    <w:rsid w:val="17C772E4"/>
    <w:rsid w:val="17D6788A"/>
    <w:rsid w:val="17DD454F"/>
    <w:rsid w:val="17E15CC3"/>
    <w:rsid w:val="17F3167D"/>
    <w:rsid w:val="17FD4E5A"/>
    <w:rsid w:val="180B7937"/>
    <w:rsid w:val="181C711E"/>
    <w:rsid w:val="181E3000"/>
    <w:rsid w:val="182F6F35"/>
    <w:rsid w:val="185C2FCC"/>
    <w:rsid w:val="18732273"/>
    <w:rsid w:val="18806297"/>
    <w:rsid w:val="188F025C"/>
    <w:rsid w:val="18950526"/>
    <w:rsid w:val="18A52C67"/>
    <w:rsid w:val="18E56A9C"/>
    <w:rsid w:val="18F61ED4"/>
    <w:rsid w:val="18F633BD"/>
    <w:rsid w:val="1905568E"/>
    <w:rsid w:val="19092B84"/>
    <w:rsid w:val="190F5C31"/>
    <w:rsid w:val="19256F64"/>
    <w:rsid w:val="1945471A"/>
    <w:rsid w:val="194B7A3E"/>
    <w:rsid w:val="195A5B50"/>
    <w:rsid w:val="195B1778"/>
    <w:rsid w:val="1961291C"/>
    <w:rsid w:val="196155B8"/>
    <w:rsid w:val="19950BF9"/>
    <w:rsid w:val="19E77818"/>
    <w:rsid w:val="1A0503BE"/>
    <w:rsid w:val="1A0944AF"/>
    <w:rsid w:val="1A226020"/>
    <w:rsid w:val="1A2B4CC1"/>
    <w:rsid w:val="1A69500A"/>
    <w:rsid w:val="1A751FA8"/>
    <w:rsid w:val="1A8D2409"/>
    <w:rsid w:val="1AA811C1"/>
    <w:rsid w:val="1AA96107"/>
    <w:rsid w:val="1AB15AE9"/>
    <w:rsid w:val="1AD60FA6"/>
    <w:rsid w:val="1AF8555F"/>
    <w:rsid w:val="1B157B5C"/>
    <w:rsid w:val="1B552D87"/>
    <w:rsid w:val="1B7C2904"/>
    <w:rsid w:val="1BAC0440"/>
    <w:rsid w:val="1BCA303C"/>
    <w:rsid w:val="1BD25C63"/>
    <w:rsid w:val="1BD51AE9"/>
    <w:rsid w:val="1BDB4197"/>
    <w:rsid w:val="1BDC4CD4"/>
    <w:rsid w:val="1BE55AD2"/>
    <w:rsid w:val="1C0362FC"/>
    <w:rsid w:val="1C111F3B"/>
    <w:rsid w:val="1C27242A"/>
    <w:rsid w:val="1C340E67"/>
    <w:rsid w:val="1C4B2519"/>
    <w:rsid w:val="1C4C51B5"/>
    <w:rsid w:val="1C5B24F9"/>
    <w:rsid w:val="1C941DFD"/>
    <w:rsid w:val="1CA67605"/>
    <w:rsid w:val="1CB24EAD"/>
    <w:rsid w:val="1CD36876"/>
    <w:rsid w:val="1D102CD1"/>
    <w:rsid w:val="1D184171"/>
    <w:rsid w:val="1D3F249B"/>
    <w:rsid w:val="1D491D3F"/>
    <w:rsid w:val="1D4A0BB2"/>
    <w:rsid w:val="1D550AC9"/>
    <w:rsid w:val="1D93393A"/>
    <w:rsid w:val="1DBA49EB"/>
    <w:rsid w:val="1DDA45AC"/>
    <w:rsid w:val="1DDE4D15"/>
    <w:rsid w:val="1E0F11DA"/>
    <w:rsid w:val="1E171281"/>
    <w:rsid w:val="1E1862E1"/>
    <w:rsid w:val="1E3575EA"/>
    <w:rsid w:val="1E5E75AD"/>
    <w:rsid w:val="1E65416C"/>
    <w:rsid w:val="1E72558A"/>
    <w:rsid w:val="1E761259"/>
    <w:rsid w:val="1EA14A27"/>
    <w:rsid w:val="1EB60E8E"/>
    <w:rsid w:val="1EEA072D"/>
    <w:rsid w:val="1EF51D8C"/>
    <w:rsid w:val="1F386FFD"/>
    <w:rsid w:val="1F434F41"/>
    <w:rsid w:val="1F4B4703"/>
    <w:rsid w:val="1F703441"/>
    <w:rsid w:val="1F9E434E"/>
    <w:rsid w:val="1FA87132"/>
    <w:rsid w:val="1FAE057F"/>
    <w:rsid w:val="1FB454D6"/>
    <w:rsid w:val="1FD62840"/>
    <w:rsid w:val="1FE32B31"/>
    <w:rsid w:val="201725C8"/>
    <w:rsid w:val="20510E36"/>
    <w:rsid w:val="206A5091"/>
    <w:rsid w:val="208468D3"/>
    <w:rsid w:val="208F0A21"/>
    <w:rsid w:val="20A10662"/>
    <w:rsid w:val="20A36A52"/>
    <w:rsid w:val="20CC5318"/>
    <w:rsid w:val="20DF6395"/>
    <w:rsid w:val="20EF2BFD"/>
    <w:rsid w:val="20FE3141"/>
    <w:rsid w:val="21023E41"/>
    <w:rsid w:val="210858F3"/>
    <w:rsid w:val="213F41C2"/>
    <w:rsid w:val="21564B1C"/>
    <w:rsid w:val="215977CF"/>
    <w:rsid w:val="21650EBE"/>
    <w:rsid w:val="21727649"/>
    <w:rsid w:val="21856F3F"/>
    <w:rsid w:val="218A297B"/>
    <w:rsid w:val="218E7A98"/>
    <w:rsid w:val="21D43DDF"/>
    <w:rsid w:val="21D950D6"/>
    <w:rsid w:val="21E83AA1"/>
    <w:rsid w:val="21F9357F"/>
    <w:rsid w:val="21FC3515"/>
    <w:rsid w:val="221476E7"/>
    <w:rsid w:val="22370D00"/>
    <w:rsid w:val="2238405D"/>
    <w:rsid w:val="22422435"/>
    <w:rsid w:val="22621177"/>
    <w:rsid w:val="226F3FF6"/>
    <w:rsid w:val="22967D2A"/>
    <w:rsid w:val="22E76A9E"/>
    <w:rsid w:val="23253E70"/>
    <w:rsid w:val="23346042"/>
    <w:rsid w:val="234C716E"/>
    <w:rsid w:val="23695B08"/>
    <w:rsid w:val="23995F48"/>
    <w:rsid w:val="23AC27E2"/>
    <w:rsid w:val="23B147BF"/>
    <w:rsid w:val="23B73EA6"/>
    <w:rsid w:val="23BE6F69"/>
    <w:rsid w:val="23E0550A"/>
    <w:rsid w:val="24164E63"/>
    <w:rsid w:val="24274C42"/>
    <w:rsid w:val="2446347C"/>
    <w:rsid w:val="245A198E"/>
    <w:rsid w:val="245F3D8B"/>
    <w:rsid w:val="24A57015"/>
    <w:rsid w:val="24D97E4C"/>
    <w:rsid w:val="250B5710"/>
    <w:rsid w:val="25264D8D"/>
    <w:rsid w:val="25504AFD"/>
    <w:rsid w:val="25514643"/>
    <w:rsid w:val="25705DCC"/>
    <w:rsid w:val="258C28B4"/>
    <w:rsid w:val="25AA6C51"/>
    <w:rsid w:val="25B00F7A"/>
    <w:rsid w:val="25B8329D"/>
    <w:rsid w:val="25DC5CE5"/>
    <w:rsid w:val="25DF19FA"/>
    <w:rsid w:val="25E702E4"/>
    <w:rsid w:val="25EA36A1"/>
    <w:rsid w:val="26114E16"/>
    <w:rsid w:val="261616BE"/>
    <w:rsid w:val="26201BC1"/>
    <w:rsid w:val="262F67D3"/>
    <w:rsid w:val="263539C1"/>
    <w:rsid w:val="26373578"/>
    <w:rsid w:val="26400041"/>
    <w:rsid w:val="266C3F46"/>
    <w:rsid w:val="266C70D8"/>
    <w:rsid w:val="268802EE"/>
    <w:rsid w:val="269B175B"/>
    <w:rsid w:val="26A61164"/>
    <w:rsid w:val="26CB4FBE"/>
    <w:rsid w:val="272B4C15"/>
    <w:rsid w:val="2758596F"/>
    <w:rsid w:val="275C0382"/>
    <w:rsid w:val="27762D2B"/>
    <w:rsid w:val="27A73483"/>
    <w:rsid w:val="27B368C3"/>
    <w:rsid w:val="280F75D6"/>
    <w:rsid w:val="28312392"/>
    <w:rsid w:val="284C11A7"/>
    <w:rsid w:val="28B02E29"/>
    <w:rsid w:val="28B04318"/>
    <w:rsid w:val="28B87D22"/>
    <w:rsid w:val="28BA20D1"/>
    <w:rsid w:val="28BE5CD7"/>
    <w:rsid w:val="28BF2340"/>
    <w:rsid w:val="28D466F0"/>
    <w:rsid w:val="28F65345"/>
    <w:rsid w:val="290B31A9"/>
    <w:rsid w:val="29110522"/>
    <w:rsid w:val="29887D36"/>
    <w:rsid w:val="298C7B83"/>
    <w:rsid w:val="29A86DCD"/>
    <w:rsid w:val="29CB77C8"/>
    <w:rsid w:val="29E8311F"/>
    <w:rsid w:val="29FD0E19"/>
    <w:rsid w:val="2A10239B"/>
    <w:rsid w:val="2A1060BE"/>
    <w:rsid w:val="2A2C53F8"/>
    <w:rsid w:val="2A2D7709"/>
    <w:rsid w:val="2A4D7312"/>
    <w:rsid w:val="2A544E80"/>
    <w:rsid w:val="2A856FA2"/>
    <w:rsid w:val="2A9A5A52"/>
    <w:rsid w:val="2AE014B4"/>
    <w:rsid w:val="2AE829BB"/>
    <w:rsid w:val="2AE86993"/>
    <w:rsid w:val="2AE8703B"/>
    <w:rsid w:val="2AEC49F6"/>
    <w:rsid w:val="2AF51836"/>
    <w:rsid w:val="2B091F48"/>
    <w:rsid w:val="2B1E3BB3"/>
    <w:rsid w:val="2B2D2CA0"/>
    <w:rsid w:val="2B4E3890"/>
    <w:rsid w:val="2B841236"/>
    <w:rsid w:val="2BB23F5D"/>
    <w:rsid w:val="2BC95631"/>
    <w:rsid w:val="2BCA3E67"/>
    <w:rsid w:val="2BD06E4F"/>
    <w:rsid w:val="2BF678F8"/>
    <w:rsid w:val="2C19544A"/>
    <w:rsid w:val="2C1B0533"/>
    <w:rsid w:val="2C484BFA"/>
    <w:rsid w:val="2C8E4CEB"/>
    <w:rsid w:val="2C945D84"/>
    <w:rsid w:val="2C9D5D1A"/>
    <w:rsid w:val="2CBA01CF"/>
    <w:rsid w:val="2CBC077F"/>
    <w:rsid w:val="2CE00B76"/>
    <w:rsid w:val="2CE41F00"/>
    <w:rsid w:val="2CF60E47"/>
    <w:rsid w:val="2D030767"/>
    <w:rsid w:val="2D2243C5"/>
    <w:rsid w:val="2D317BC9"/>
    <w:rsid w:val="2D800ADF"/>
    <w:rsid w:val="2D8203C4"/>
    <w:rsid w:val="2D83129D"/>
    <w:rsid w:val="2D8E793B"/>
    <w:rsid w:val="2D943B86"/>
    <w:rsid w:val="2DB81271"/>
    <w:rsid w:val="2DBD08A8"/>
    <w:rsid w:val="2DC9533C"/>
    <w:rsid w:val="2DFE1C82"/>
    <w:rsid w:val="2E206AEC"/>
    <w:rsid w:val="2E351FDB"/>
    <w:rsid w:val="2E366B18"/>
    <w:rsid w:val="2E487F80"/>
    <w:rsid w:val="2E7F3598"/>
    <w:rsid w:val="2E842D22"/>
    <w:rsid w:val="2E9A1569"/>
    <w:rsid w:val="2EAE6EBD"/>
    <w:rsid w:val="2EE10029"/>
    <w:rsid w:val="2EED5CC6"/>
    <w:rsid w:val="2EFE5054"/>
    <w:rsid w:val="2F063316"/>
    <w:rsid w:val="2F0815AC"/>
    <w:rsid w:val="2F104DB2"/>
    <w:rsid w:val="2F2422BD"/>
    <w:rsid w:val="2F6B092D"/>
    <w:rsid w:val="2F866A0B"/>
    <w:rsid w:val="2F8C6CA2"/>
    <w:rsid w:val="2FCC5874"/>
    <w:rsid w:val="2FD61D13"/>
    <w:rsid w:val="300615B2"/>
    <w:rsid w:val="300A695C"/>
    <w:rsid w:val="30447D96"/>
    <w:rsid w:val="30491450"/>
    <w:rsid w:val="305308F6"/>
    <w:rsid w:val="306A21BA"/>
    <w:rsid w:val="30805EDC"/>
    <w:rsid w:val="308B7234"/>
    <w:rsid w:val="30CC2B37"/>
    <w:rsid w:val="30CE46A0"/>
    <w:rsid w:val="30D03C26"/>
    <w:rsid w:val="30F6529C"/>
    <w:rsid w:val="30F66032"/>
    <w:rsid w:val="310D2A31"/>
    <w:rsid w:val="313C40DB"/>
    <w:rsid w:val="31A10DC1"/>
    <w:rsid w:val="31AD6751"/>
    <w:rsid w:val="31E542D4"/>
    <w:rsid w:val="31F2079F"/>
    <w:rsid w:val="31FC10E8"/>
    <w:rsid w:val="3201655B"/>
    <w:rsid w:val="321117B4"/>
    <w:rsid w:val="326A1732"/>
    <w:rsid w:val="32843AED"/>
    <w:rsid w:val="329B2BE5"/>
    <w:rsid w:val="33023E55"/>
    <w:rsid w:val="33083B32"/>
    <w:rsid w:val="334E21F9"/>
    <w:rsid w:val="33591BE2"/>
    <w:rsid w:val="33650550"/>
    <w:rsid w:val="33B57CD6"/>
    <w:rsid w:val="33CC2067"/>
    <w:rsid w:val="33F566D2"/>
    <w:rsid w:val="342E64B0"/>
    <w:rsid w:val="343D03F7"/>
    <w:rsid w:val="344005AC"/>
    <w:rsid w:val="346D6952"/>
    <w:rsid w:val="347149B3"/>
    <w:rsid w:val="349175F8"/>
    <w:rsid w:val="34986BFA"/>
    <w:rsid w:val="34A067D8"/>
    <w:rsid w:val="34A75FE6"/>
    <w:rsid w:val="34C21B34"/>
    <w:rsid w:val="34D87C0D"/>
    <w:rsid w:val="34E81295"/>
    <w:rsid w:val="35283D7A"/>
    <w:rsid w:val="352E10DA"/>
    <w:rsid w:val="353D3E0D"/>
    <w:rsid w:val="354176B3"/>
    <w:rsid w:val="35845BB2"/>
    <w:rsid w:val="358D2CBF"/>
    <w:rsid w:val="35D63B66"/>
    <w:rsid w:val="362569E4"/>
    <w:rsid w:val="36257395"/>
    <w:rsid w:val="36372ED1"/>
    <w:rsid w:val="364A6DFC"/>
    <w:rsid w:val="36902A09"/>
    <w:rsid w:val="369737F0"/>
    <w:rsid w:val="369E11E3"/>
    <w:rsid w:val="369F14A8"/>
    <w:rsid w:val="36A50CE4"/>
    <w:rsid w:val="36DC0C6B"/>
    <w:rsid w:val="36F1114A"/>
    <w:rsid w:val="37051472"/>
    <w:rsid w:val="370E0D76"/>
    <w:rsid w:val="37164F30"/>
    <w:rsid w:val="37195D61"/>
    <w:rsid w:val="373603D1"/>
    <w:rsid w:val="37413820"/>
    <w:rsid w:val="37590ECC"/>
    <w:rsid w:val="378B43B6"/>
    <w:rsid w:val="378F4C60"/>
    <w:rsid w:val="379B7DCA"/>
    <w:rsid w:val="37D04BFA"/>
    <w:rsid w:val="37EC27F9"/>
    <w:rsid w:val="37EF032A"/>
    <w:rsid w:val="37F25062"/>
    <w:rsid w:val="3801173C"/>
    <w:rsid w:val="381739BD"/>
    <w:rsid w:val="383526B3"/>
    <w:rsid w:val="3845522B"/>
    <w:rsid w:val="384D4111"/>
    <w:rsid w:val="38555674"/>
    <w:rsid w:val="386364F2"/>
    <w:rsid w:val="389044D8"/>
    <w:rsid w:val="38D3032F"/>
    <w:rsid w:val="38D62BC9"/>
    <w:rsid w:val="38EB5250"/>
    <w:rsid w:val="38EE6714"/>
    <w:rsid w:val="3961290D"/>
    <w:rsid w:val="39C22FEF"/>
    <w:rsid w:val="39C33DA3"/>
    <w:rsid w:val="3A0C7E04"/>
    <w:rsid w:val="3A184B1B"/>
    <w:rsid w:val="3A4447DE"/>
    <w:rsid w:val="3A5C5A79"/>
    <w:rsid w:val="3A6B52BE"/>
    <w:rsid w:val="3A735E0B"/>
    <w:rsid w:val="3A92426D"/>
    <w:rsid w:val="3A937016"/>
    <w:rsid w:val="3A9C4034"/>
    <w:rsid w:val="3AD24864"/>
    <w:rsid w:val="3ADB0022"/>
    <w:rsid w:val="3AEF1D20"/>
    <w:rsid w:val="3B0116EA"/>
    <w:rsid w:val="3B2874D8"/>
    <w:rsid w:val="3B2B71EC"/>
    <w:rsid w:val="3B47510C"/>
    <w:rsid w:val="3B556196"/>
    <w:rsid w:val="3B765941"/>
    <w:rsid w:val="3B8A1BDB"/>
    <w:rsid w:val="3BB41CFB"/>
    <w:rsid w:val="3C191184"/>
    <w:rsid w:val="3C2E2804"/>
    <w:rsid w:val="3C3375EA"/>
    <w:rsid w:val="3C3A34A3"/>
    <w:rsid w:val="3C4816E7"/>
    <w:rsid w:val="3C485314"/>
    <w:rsid w:val="3C51317F"/>
    <w:rsid w:val="3C5A58BF"/>
    <w:rsid w:val="3C794422"/>
    <w:rsid w:val="3C921B1C"/>
    <w:rsid w:val="3CA163C4"/>
    <w:rsid w:val="3CD82198"/>
    <w:rsid w:val="3CE15922"/>
    <w:rsid w:val="3CE56033"/>
    <w:rsid w:val="3CF81FF4"/>
    <w:rsid w:val="3D403186"/>
    <w:rsid w:val="3D515C28"/>
    <w:rsid w:val="3D6D2924"/>
    <w:rsid w:val="3D7050DD"/>
    <w:rsid w:val="3D746135"/>
    <w:rsid w:val="3D7D4571"/>
    <w:rsid w:val="3DAA4CEA"/>
    <w:rsid w:val="3DC04542"/>
    <w:rsid w:val="3E2C02B6"/>
    <w:rsid w:val="3E6503E9"/>
    <w:rsid w:val="3E734A16"/>
    <w:rsid w:val="3E94316C"/>
    <w:rsid w:val="3EC9461E"/>
    <w:rsid w:val="3ECE40C2"/>
    <w:rsid w:val="3F082687"/>
    <w:rsid w:val="40015A3B"/>
    <w:rsid w:val="40024378"/>
    <w:rsid w:val="400874DB"/>
    <w:rsid w:val="402257DC"/>
    <w:rsid w:val="402D5A0B"/>
    <w:rsid w:val="402D5ADF"/>
    <w:rsid w:val="40422DF9"/>
    <w:rsid w:val="404A7067"/>
    <w:rsid w:val="404B22CB"/>
    <w:rsid w:val="40951B2D"/>
    <w:rsid w:val="40A12EAF"/>
    <w:rsid w:val="40A47FD3"/>
    <w:rsid w:val="40C570E3"/>
    <w:rsid w:val="40D55514"/>
    <w:rsid w:val="411A2557"/>
    <w:rsid w:val="412A74C5"/>
    <w:rsid w:val="414228ED"/>
    <w:rsid w:val="41905430"/>
    <w:rsid w:val="419114F8"/>
    <w:rsid w:val="41A53F28"/>
    <w:rsid w:val="41C83FF6"/>
    <w:rsid w:val="41D32B51"/>
    <w:rsid w:val="41EA284C"/>
    <w:rsid w:val="41F51EEC"/>
    <w:rsid w:val="420B38E3"/>
    <w:rsid w:val="421964AC"/>
    <w:rsid w:val="422D720D"/>
    <w:rsid w:val="426623FD"/>
    <w:rsid w:val="42674297"/>
    <w:rsid w:val="42864D14"/>
    <w:rsid w:val="429B5BB0"/>
    <w:rsid w:val="42D7013F"/>
    <w:rsid w:val="42D91BC2"/>
    <w:rsid w:val="42D960C7"/>
    <w:rsid w:val="430442CF"/>
    <w:rsid w:val="43270914"/>
    <w:rsid w:val="432821A5"/>
    <w:rsid w:val="432E0D78"/>
    <w:rsid w:val="433230F1"/>
    <w:rsid w:val="43327328"/>
    <w:rsid w:val="43364245"/>
    <w:rsid w:val="433E1BC6"/>
    <w:rsid w:val="4379487C"/>
    <w:rsid w:val="437C5872"/>
    <w:rsid w:val="438F69A5"/>
    <w:rsid w:val="43D15277"/>
    <w:rsid w:val="44154487"/>
    <w:rsid w:val="443469F5"/>
    <w:rsid w:val="44391BA1"/>
    <w:rsid w:val="446A6DE8"/>
    <w:rsid w:val="4485210C"/>
    <w:rsid w:val="44886E15"/>
    <w:rsid w:val="44D02922"/>
    <w:rsid w:val="44D60887"/>
    <w:rsid w:val="44FF34A7"/>
    <w:rsid w:val="4513141B"/>
    <w:rsid w:val="452A5E05"/>
    <w:rsid w:val="45505AB1"/>
    <w:rsid w:val="456171C3"/>
    <w:rsid w:val="4565266A"/>
    <w:rsid w:val="45752BB2"/>
    <w:rsid w:val="458F0D79"/>
    <w:rsid w:val="45AE146F"/>
    <w:rsid w:val="45B23F09"/>
    <w:rsid w:val="45B4244B"/>
    <w:rsid w:val="45C269AF"/>
    <w:rsid w:val="45CA5662"/>
    <w:rsid w:val="465A4ED0"/>
    <w:rsid w:val="46A0064A"/>
    <w:rsid w:val="46A165C4"/>
    <w:rsid w:val="46A20BF4"/>
    <w:rsid w:val="46D149CF"/>
    <w:rsid w:val="46D41421"/>
    <w:rsid w:val="46D92EA3"/>
    <w:rsid w:val="46FE4D14"/>
    <w:rsid w:val="4700361B"/>
    <w:rsid w:val="47130D03"/>
    <w:rsid w:val="47282841"/>
    <w:rsid w:val="473C629A"/>
    <w:rsid w:val="47402854"/>
    <w:rsid w:val="477C436F"/>
    <w:rsid w:val="477F0053"/>
    <w:rsid w:val="47902C5F"/>
    <w:rsid w:val="47996319"/>
    <w:rsid w:val="47AF591C"/>
    <w:rsid w:val="47E26076"/>
    <w:rsid w:val="47E50E14"/>
    <w:rsid w:val="47EA709F"/>
    <w:rsid w:val="48052665"/>
    <w:rsid w:val="480E5BEE"/>
    <w:rsid w:val="48164D90"/>
    <w:rsid w:val="4824411F"/>
    <w:rsid w:val="48450C3B"/>
    <w:rsid w:val="48897BD7"/>
    <w:rsid w:val="488F3898"/>
    <w:rsid w:val="48C5125A"/>
    <w:rsid w:val="48DF3D09"/>
    <w:rsid w:val="48FD3017"/>
    <w:rsid w:val="493475FC"/>
    <w:rsid w:val="49480652"/>
    <w:rsid w:val="49481197"/>
    <w:rsid w:val="4957740E"/>
    <w:rsid w:val="49635DB3"/>
    <w:rsid w:val="49A450AA"/>
    <w:rsid w:val="49B13B80"/>
    <w:rsid w:val="49B93934"/>
    <w:rsid w:val="49BC176A"/>
    <w:rsid w:val="4A015807"/>
    <w:rsid w:val="4A236319"/>
    <w:rsid w:val="4A6B449C"/>
    <w:rsid w:val="4A7E4008"/>
    <w:rsid w:val="4AB16FF2"/>
    <w:rsid w:val="4AEE6F84"/>
    <w:rsid w:val="4AF32BD9"/>
    <w:rsid w:val="4B085DA6"/>
    <w:rsid w:val="4B090BDC"/>
    <w:rsid w:val="4B0A1850"/>
    <w:rsid w:val="4B1A3C89"/>
    <w:rsid w:val="4B2D28F1"/>
    <w:rsid w:val="4B3809D6"/>
    <w:rsid w:val="4B5E2EFA"/>
    <w:rsid w:val="4B932774"/>
    <w:rsid w:val="4BA25B24"/>
    <w:rsid w:val="4BE85743"/>
    <w:rsid w:val="4BF841CE"/>
    <w:rsid w:val="4BFA50EF"/>
    <w:rsid w:val="4BFC19ED"/>
    <w:rsid w:val="4C04497A"/>
    <w:rsid w:val="4C463D6A"/>
    <w:rsid w:val="4C525ECD"/>
    <w:rsid w:val="4C773F10"/>
    <w:rsid w:val="4C820716"/>
    <w:rsid w:val="4C9A7B8F"/>
    <w:rsid w:val="4CB844C9"/>
    <w:rsid w:val="4CC11AE4"/>
    <w:rsid w:val="4CC72BC9"/>
    <w:rsid w:val="4CF65190"/>
    <w:rsid w:val="4CFA1F99"/>
    <w:rsid w:val="4D275470"/>
    <w:rsid w:val="4D442589"/>
    <w:rsid w:val="4D7E4EF0"/>
    <w:rsid w:val="4D8D72D0"/>
    <w:rsid w:val="4DB62683"/>
    <w:rsid w:val="4DC775F2"/>
    <w:rsid w:val="4DF6140F"/>
    <w:rsid w:val="4E2F3091"/>
    <w:rsid w:val="4E5A2211"/>
    <w:rsid w:val="4E7172CD"/>
    <w:rsid w:val="4E9B7177"/>
    <w:rsid w:val="4E9F40A3"/>
    <w:rsid w:val="4EA604F0"/>
    <w:rsid w:val="4EA76741"/>
    <w:rsid w:val="4EC20D40"/>
    <w:rsid w:val="4EE26B3F"/>
    <w:rsid w:val="4F041DE2"/>
    <w:rsid w:val="4F051084"/>
    <w:rsid w:val="4F06056E"/>
    <w:rsid w:val="4F0A2594"/>
    <w:rsid w:val="4F897A6D"/>
    <w:rsid w:val="4FC22819"/>
    <w:rsid w:val="4FCC2080"/>
    <w:rsid w:val="4FD2482B"/>
    <w:rsid w:val="4FF37764"/>
    <w:rsid w:val="501E3056"/>
    <w:rsid w:val="50237838"/>
    <w:rsid w:val="50262E53"/>
    <w:rsid w:val="504F6F8F"/>
    <w:rsid w:val="507104DC"/>
    <w:rsid w:val="50894A01"/>
    <w:rsid w:val="509C7994"/>
    <w:rsid w:val="50EE47DC"/>
    <w:rsid w:val="511D718F"/>
    <w:rsid w:val="511F2F07"/>
    <w:rsid w:val="5139389D"/>
    <w:rsid w:val="51776DE6"/>
    <w:rsid w:val="51940CA9"/>
    <w:rsid w:val="51C71FFE"/>
    <w:rsid w:val="51CE6AE1"/>
    <w:rsid w:val="51D00C25"/>
    <w:rsid w:val="5206282E"/>
    <w:rsid w:val="52121566"/>
    <w:rsid w:val="52245B36"/>
    <w:rsid w:val="523222F6"/>
    <w:rsid w:val="52634254"/>
    <w:rsid w:val="526A01B2"/>
    <w:rsid w:val="526D37FE"/>
    <w:rsid w:val="52714D36"/>
    <w:rsid w:val="52755F9C"/>
    <w:rsid w:val="529736E2"/>
    <w:rsid w:val="52D314FC"/>
    <w:rsid w:val="52DF1BA6"/>
    <w:rsid w:val="5312228D"/>
    <w:rsid w:val="53165C44"/>
    <w:rsid w:val="532112FC"/>
    <w:rsid w:val="532E7950"/>
    <w:rsid w:val="532F63EB"/>
    <w:rsid w:val="534971F8"/>
    <w:rsid w:val="5354676C"/>
    <w:rsid w:val="535F3A8F"/>
    <w:rsid w:val="536F4EF7"/>
    <w:rsid w:val="537161BC"/>
    <w:rsid w:val="537B63EF"/>
    <w:rsid w:val="538E2957"/>
    <w:rsid w:val="539E69E9"/>
    <w:rsid w:val="53C46548"/>
    <w:rsid w:val="53DC10E7"/>
    <w:rsid w:val="540D48AE"/>
    <w:rsid w:val="543C2A39"/>
    <w:rsid w:val="545D5AF4"/>
    <w:rsid w:val="54901082"/>
    <w:rsid w:val="54C058E5"/>
    <w:rsid w:val="54C6555E"/>
    <w:rsid w:val="54F915B0"/>
    <w:rsid w:val="55056D87"/>
    <w:rsid w:val="555D793D"/>
    <w:rsid w:val="55CE3F20"/>
    <w:rsid w:val="55D119C0"/>
    <w:rsid w:val="55D80DAD"/>
    <w:rsid w:val="55DA7A1C"/>
    <w:rsid w:val="55ED7D16"/>
    <w:rsid w:val="55FA0874"/>
    <w:rsid w:val="561A5A4B"/>
    <w:rsid w:val="564549E2"/>
    <w:rsid w:val="5648776E"/>
    <w:rsid w:val="567104CE"/>
    <w:rsid w:val="567D1FD2"/>
    <w:rsid w:val="56846588"/>
    <w:rsid w:val="568B291A"/>
    <w:rsid w:val="568B6949"/>
    <w:rsid w:val="56906C06"/>
    <w:rsid w:val="56AB0D75"/>
    <w:rsid w:val="56D817EE"/>
    <w:rsid w:val="5703549D"/>
    <w:rsid w:val="57620A4D"/>
    <w:rsid w:val="5762797C"/>
    <w:rsid w:val="578261D2"/>
    <w:rsid w:val="57901AEB"/>
    <w:rsid w:val="579E61A4"/>
    <w:rsid w:val="57A51C8C"/>
    <w:rsid w:val="57D7733B"/>
    <w:rsid w:val="57FE618B"/>
    <w:rsid w:val="5834101B"/>
    <w:rsid w:val="58634A32"/>
    <w:rsid w:val="58847719"/>
    <w:rsid w:val="5886692A"/>
    <w:rsid w:val="589951AA"/>
    <w:rsid w:val="589D1F88"/>
    <w:rsid w:val="58AB5164"/>
    <w:rsid w:val="58C10150"/>
    <w:rsid w:val="58C94578"/>
    <w:rsid w:val="58D46CA4"/>
    <w:rsid w:val="58F70086"/>
    <w:rsid w:val="59050C34"/>
    <w:rsid w:val="59473A7B"/>
    <w:rsid w:val="599C0E76"/>
    <w:rsid w:val="59F13875"/>
    <w:rsid w:val="59FF0C2B"/>
    <w:rsid w:val="5A0A04CC"/>
    <w:rsid w:val="5A1F1BD9"/>
    <w:rsid w:val="5A211C05"/>
    <w:rsid w:val="5A47073C"/>
    <w:rsid w:val="5A4A099F"/>
    <w:rsid w:val="5A5345EA"/>
    <w:rsid w:val="5A965A9D"/>
    <w:rsid w:val="5A996B4E"/>
    <w:rsid w:val="5A9D4E9D"/>
    <w:rsid w:val="5AB346C0"/>
    <w:rsid w:val="5ABA22D0"/>
    <w:rsid w:val="5AC46702"/>
    <w:rsid w:val="5AE027C8"/>
    <w:rsid w:val="5B5232A9"/>
    <w:rsid w:val="5B5B3477"/>
    <w:rsid w:val="5B7469C6"/>
    <w:rsid w:val="5B8E0B34"/>
    <w:rsid w:val="5B9D76D7"/>
    <w:rsid w:val="5BB30CAB"/>
    <w:rsid w:val="5BB8340C"/>
    <w:rsid w:val="5BC30933"/>
    <w:rsid w:val="5BD66791"/>
    <w:rsid w:val="5BE80EAD"/>
    <w:rsid w:val="5BF03C12"/>
    <w:rsid w:val="5BF224FA"/>
    <w:rsid w:val="5C192D26"/>
    <w:rsid w:val="5C3634E0"/>
    <w:rsid w:val="5C853E3A"/>
    <w:rsid w:val="5C9D7679"/>
    <w:rsid w:val="5C9E17A6"/>
    <w:rsid w:val="5CA01326"/>
    <w:rsid w:val="5CAC7D41"/>
    <w:rsid w:val="5CC91A82"/>
    <w:rsid w:val="5CCE530D"/>
    <w:rsid w:val="5CF24DFE"/>
    <w:rsid w:val="5CFF1E3E"/>
    <w:rsid w:val="5D1D22C5"/>
    <w:rsid w:val="5D220BF5"/>
    <w:rsid w:val="5D4300C2"/>
    <w:rsid w:val="5D467A6D"/>
    <w:rsid w:val="5D671976"/>
    <w:rsid w:val="5D7B386B"/>
    <w:rsid w:val="5D7F5878"/>
    <w:rsid w:val="5DD36526"/>
    <w:rsid w:val="5DD57445"/>
    <w:rsid w:val="5DE4289C"/>
    <w:rsid w:val="5DE5287F"/>
    <w:rsid w:val="5DEA78FE"/>
    <w:rsid w:val="5DF41C64"/>
    <w:rsid w:val="5E0955DB"/>
    <w:rsid w:val="5E350094"/>
    <w:rsid w:val="5E531C49"/>
    <w:rsid w:val="5E703BBF"/>
    <w:rsid w:val="5E932EAC"/>
    <w:rsid w:val="5E9D7850"/>
    <w:rsid w:val="5EB56852"/>
    <w:rsid w:val="5F024220"/>
    <w:rsid w:val="5F5E1AB6"/>
    <w:rsid w:val="5F6E359F"/>
    <w:rsid w:val="5F78006B"/>
    <w:rsid w:val="5FB213EA"/>
    <w:rsid w:val="5FBF5F73"/>
    <w:rsid w:val="5FC43817"/>
    <w:rsid w:val="5FD378EB"/>
    <w:rsid w:val="5FE64BF0"/>
    <w:rsid w:val="5FEB194D"/>
    <w:rsid w:val="5FF3311C"/>
    <w:rsid w:val="60326087"/>
    <w:rsid w:val="603619DB"/>
    <w:rsid w:val="604D7989"/>
    <w:rsid w:val="609E5F0F"/>
    <w:rsid w:val="60A4144B"/>
    <w:rsid w:val="60DA6AF0"/>
    <w:rsid w:val="60FD1AE5"/>
    <w:rsid w:val="611E551B"/>
    <w:rsid w:val="615E35D8"/>
    <w:rsid w:val="6168663C"/>
    <w:rsid w:val="61736DB6"/>
    <w:rsid w:val="61B054B5"/>
    <w:rsid w:val="61BB1D1B"/>
    <w:rsid w:val="61BE2697"/>
    <w:rsid w:val="61CB47AE"/>
    <w:rsid w:val="61ED7C78"/>
    <w:rsid w:val="62456545"/>
    <w:rsid w:val="624A26EB"/>
    <w:rsid w:val="624C5A12"/>
    <w:rsid w:val="62663C4C"/>
    <w:rsid w:val="62812AED"/>
    <w:rsid w:val="628A183E"/>
    <w:rsid w:val="629921A4"/>
    <w:rsid w:val="62B23A5C"/>
    <w:rsid w:val="62CC4CC6"/>
    <w:rsid w:val="62D82F16"/>
    <w:rsid w:val="62E768EF"/>
    <w:rsid w:val="633161AB"/>
    <w:rsid w:val="633321A5"/>
    <w:rsid w:val="63495BC1"/>
    <w:rsid w:val="634B495C"/>
    <w:rsid w:val="63593D06"/>
    <w:rsid w:val="637575B0"/>
    <w:rsid w:val="63AD6150"/>
    <w:rsid w:val="63C04F1D"/>
    <w:rsid w:val="63C62BA0"/>
    <w:rsid w:val="63FB03FB"/>
    <w:rsid w:val="640C6727"/>
    <w:rsid w:val="64212DDB"/>
    <w:rsid w:val="64342C8A"/>
    <w:rsid w:val="64654E39"/>
    <w:rsid w:val="64764003"/>
    <w:rsid w:val="64915E36"/>
    <w:rsid w:val="64986D98"/>
    <w:rsid w:val="649C0C06"/>
    <w:rsid w:val="64D55255"/>
    <w:rsid w:val="64EA7936"/>
    <w:rsid w:val="64FE559E"/>
    <w:rsid w:val="65100FC1"/>
    <w:rsid w:val="65332685"/>
    <w:rsid w:val="653B5811"/>
    <w:rsid w:val="65774154"/>
    <w:rsid w:val="65960E66"/>
    <w:rsid w:val="65A67759"/>
    <w:rsid w:val="660F0A74"/>
    <w:rsid w:val="66217FA8"/>
    <w:rsid w:val="66916DB9"/>
    <w:rsid w:val="66B805AF"/>
    <w:rsid w:val="66BA1D29"/>
    <w:rsid w:val="66E01D3E"/>
    <w:rsid w:val="67780823"/>
    <w:rsid w:val="677B19DD"/>
    <w:rsid w:val="678707C8"/>
    <w:rsid w:val="678C1FF1"/>
    <w:rsid w:val="679A5581"/>
    <w:rsid w:val="67A930D3"/>
    <w:rsid w:val="67CC2C58"/>
    <w:rsid w:val="67D62379"/>
    <w:rsid w:val="67E0789A"/>
    <w:rsid w:val="680F7E68"/>
    <w:rsid w:val="681C38A5"/>
    <w:rsid w:val="68394E12"/>
    <w:rsid w:val="684856DA"/>
    <w:rsid w:val="68534DEC"/>
    <w:rsid w:val="6859016C"/>
    <w:rsid w:val="68725BBA"/>
    <w:rsid w:val="688C58B7"/>
    <w:rsid w:val="68A6118E"/>
    <w:rsid w:val="68C30650"/>
    <w:rsid w:val="68C32148"/>
    <w:rsid w:val="68F4084D"/>
    <w:rsid w:val="694F6CE8"/>
    <w:rsid w:val="698F27FC"/>
    <w:rsid w:val="69C25E78"/>
    <w:rsid w:val="69CC30A8"/>
    <w:rsid w:val="69DC2A3E"/>
    <w:rsid w:val="69EB5AD1"/>
    <w:rsid w:val="69F032B6"/>
    <w:rsid w:val="6A5D01A4"/>
    <w:rsid w:val="6A745C1A"/>
    <w:rsid w:val="6A7749EC"/>
    <w:rsid w:val="6A930359"/>
    <w:rsid w:val="6A943976"/>
    <w:rsid w:val="6AC350E6"/>
    <w:rsid w:val="6AD452E0"/>
    <w:rsid w:val="6AE72D44"/>
    <w:rsid w:val="6AED1528"/>
    <w:rsid w:val="6B000B89"/>
    <w:rsid w:val="6B106429"/>
    <w:rsid w:val="6B145CD1"/>
    <w:rsid w:val="6B363AE2"/>
    <w:rsid w:val="6BB327C9"/>
    <w:rsid w:val="6BF442A9"/>
    <w:rsid w:val="6BF5735D"/>
    <w:rsid w:val="6BFE02F0"/>
    <w:rsid w:val="6C0728C8"/>
    <w:rsid w:val="6C28661F"/>
    <w:rsid w:val="6C3C78A7"/>
    <w:rsid w:val="6C465896"/>
    <w:rsid w:val="6C677FFD"/>
    <w:rsid w:val="6C932280"/>
    <w:rsid w:val="6CA74E09"/>
    <w:rsid w:val="6CCA15EB"/>
    <w:rsid w:val="6CCA38AE"/>
    <w:rsid w:val="6CCD43D7"/>
    <w:rsid w:val="6CD22682"/>
    <w:rsid w:val="6CE13383"/>
    <w:rsid w:val="6CF9727C"/>
    <w:rsid w:val="6D155BAD"/>
    <w:rsid w:val="6D315BEC"/>
    <w:rsid w:val="6D3600AE"/>
    <w:rsid w:val="6D8E2019"/>
    <w:rsid w:val="6DBC51E2"/>
    <w:rsid w:val="6DE060CE"/>
    <w:rsid w:val="6DEF3ED6"/>
    <w:rsid w:val="6E0C2FF9"/>
    <w:rsid w:val="6E223478"/>
    <w:rsid w:val="6E4C2A0A"/>
    <w:rsid w:val="6E801C07"/>
    <w:rsid w:val="6E8656D8"/>
    <w:rsid w:val="6EC353F0"/>
    <w:rsid w:val="6EF03395"/>
    <w:rsid w:val="6EFF27C6"/>
    <w:rsid w:val="6F360974"/>
    <w:rsid w:val="6F3A103F"/>
    <w:rsid w:val="6F3D7394"/>
    <w:rsid w:val="6F5310DF"/>
    <w:rsid w:val="6F577B55"/>
    <w:rsid w:val="6F5C6C7D"/>
    <w:rsid w:val="6F8D6E36"/>
    <w:rsid w:val="6F8E551C"/>
    <w:rsid w:val="6F9517EF"/>
    <w:rsid w:val="6F9E5F75"/>
    <w:rsid w:val="6FB10E10"/>
    <w:rsid w:val="6FC162B0"/>
    <w:rsid w:val="6FD70BB7"/>
    <w:rsid w:val="6FD76F74"/>
    <w:rsid w:val="6FE368B3"/>
    <w:rsid w:val="6FEE0CF9"/>
    <w:rsid w:val="70767521"/>
    <w:rsid w:val="707A4D7E"/>
    <w:rsid w:val="709E6887"/>
    <w:rsid w:val="70C15FC5"/>
    <w:rsid w:val="70E66F6E"/>
    <w:rsid w:val="71085393"/>
    <w:rsid w:val="711634A3"/>
    <w:rsid w:val="71205FCC"/>
    <w:rsid w:val="713E0D2B"/>
    <w:rsid w:val="71403D98"/>
    <w:rsid w:val="71550144"/>
    <w:rsid w:val="715F7720"/>
    <w:rsid w:val="71646B77"/>
    <w:rsid w:val="7166189A"/>
    <w:rsid w:val="717647EF"/>
    <w:rsid w:val="71A459B9"/>
    <w:rsid w:val="71AA325D"/>
    <w:rsid w:val="71B32EC3"/>
    <w:rsid w:val="71B87D0C"/>
    <w:rsid w:val="71F4319C"/>
    <w:rsid w:val="72770B6A"/>
    <w:rsid w:val="72902356"/>
    <w:rsid w:val="72931565"/>
    <w:rsid w:val="729D1975"/>
    <w:rsid w:val="72A47B43"/>
    <w:rsid w:val="72B55021"/>
    <w:rsid w:val="72BC033C"/>
    <w:rsid w:val="730B24F2"/>
    <w:rsid w:val="73132CCA"/>
    <w:rsid w:val="73325967"/>
    <w:rsid w:val="73590E98"/>
    <w:rsid w:val="737A1F18"/>
    <w:rsid w:val="73844A32"/>
    <w:rsid w:val="73A439B9"/>
    <w:rsid w:val="73CD77BD"/>
    <w:rsid w:val="741B7B33"/>
    <w:rsid w:val="74231160"/>
    <w:rsid w:val="74234022"/>
    <w:rsid w:val="742D0FF7"/>
    <w:rsid w:val="743B50B2"/>
    <w:rsid w:val="744C4409"/>
    <w:rsid w:val="744D4936"/>
    <w:rsid w:val="748066A2"/>
    <w:rsid w:val="74A300CD"/>
    <w:rsid w:val="74A50CB1"/>
    <w:rsid w:val="74B549A6"/>
    <w:rsid w:val="74BF3566"/>
    <w:rsid w:val="74C44E75"/>
    <w:rsid w:val="74C760AA"/>
    <w:rsid w:val="74DB3E40"/>
    <w:rsid w:val="74E0799E"/>
    <w:rsid w:val="754B7577"/>
    <w:rsid w:val="75A01744"/>
    <w:rsid w:val="75D67789"/>
    <w:rsid w:val="75FF36B8"/>
    <w:rsid w:val="760E1C1B"/>
    <w:rsid w:val="762D67F3"/>
    <w:rsid w:val="76426654"/>
    <w:rsid w:val="76485858"/>
    <w:rsid w:val="76546E6D"/>
    <w:rsid w:val="76774ABF"/>
    <w:rsid w:val="767A44EA"/>
    <w:rsid w:val="768F5624"/>
    <w:rsid w:val="769D5C52"/>
    <w:rsid w:val="76A448C0"/>
    <w:rsid w:val="76CB7E68"/>
    <w:rsid w:val="76D12B36"/>
    <w:rsid w:val="76D659B9"/>
    <w:rsid w:val="773D0F7A"/>
    <w:rsid w:val="77644832"/>
    <w:rsid w:val="77650D70"/>
    <w:rsid w:val="77AB2821"/>
    <w:rsid w:val="77E50C54"/>
    <w:rsid w:val="77F84BEB"/>
    <w:rsid w:val="780A7B84"/>
    <w:rsid w:val="7827531D"/>
    <w:rsid w:val="78684EBC"/>
    <w:rsid w:val="78773385"/>
    <w:rsid w:val="78A17D45"/>
    <w:rsid w:val="78B0591D"/>
    <w:rsid w:val="78B84FE0"/>
    <w:rsid w:val="78EC78E8"/>
    <w:rsid w:val="79107D36"/>
    <w:rsid w:val="79131435"/>
    <w:rsid w:val="7924403E"/>
    <w:rsid w:val="7939029C"/>
    <w:rsid w:val="793D4334"/>
    <w:rsid w:val="794B485E"/>
    <w:rsid w:val="79750FDE"/>
    <w:rsid w:val="79CE0948"/>
    <w:rsid w:val="79DE651F"/>
    <w:rsid w:val="79EF1E0A"/>
    <w:rsid w:val="7A04600D"/>
    <w:rsid w:val="7A180400"/>
    <w:rsid w:val="7A2A05CC"/>
    <w:rsid w:val="7A2A4511"/>
    <w:rsid w:val="7A3A2873"/>
    <w:rsid w:val="7A7B246E"/>
    <w:rsid w:val="7A862E00"/>
    <w:rsid w:val="7A874593"/>
    <w:rsid w:val="7A8C0BFD"/>
    <w:rsid w:val="7AB47FC5"/>
    <w:rsid w:val="7AE01474"/>
    <w:rsid w:val="7AEA2555"/>
    <w:rsid w:val="7B022582"/>
    <w:rsid w:val="7B0D2FB4"/>
    <w:rsid w:val="7B6B762E"/>
    <w:rsid w:val="7B711D02"/>
    <w:rsid w:val="7B7F771F"/>
    <w:rsid w:val="7B9A6B2C"/>
    <w:rsid w:val="7BA747F0"/>
    <w:rsid w:val="7BB163D2"/>
    <w:rsid w:val="7BEF64A9"/>
    <w:rsid w:val="7BFC5733"/>
    <w:rsid w:val="7C285743"/>
    <w:rsid w:val="7C492337"/>
    <w:rsid w:val="7C4F007D"/>
    <w:rsid w:val="7C7A205D"/>
    <w:rsid w:val="7C80477D"/>
    <w:rsid w:val="7C9067EA"/>
    <w:rsid w:val="7C950AA9"/>
    <w:rsid w:val="7CB40E8C"/>
    <w:rsid w:val="7CF536B7"/>
    <w:rsid w:val="7D1932EE"/>
    <w:rsid w:val="7D404288"/>
    <w:rsid w:val="7D8D7337"/>
    <w:rsid w:val="7DA0067C"/>
    <w:rsid w:val="7DAC31A8"/>
    <w:rsid w:val="7DB318F0"/>
    <w:rsid w:val="7DCD45C4"/>
    <w:rsid w:val="7DD74F12"/>
    <w:rsid w:val="7DE44160"/>
    <w:rsid w:val="7DFA746C"/>
    <w:rsid w:val="7E2272E3"/>
    <w:rsid w:val="7E541366"/>
    <w:rsid w:val="7E61424D"/>
    <w:rsid w:val="7E6D63BF"/>
    <w:rsid w:val="7E877D71"/>
    <w:rsid w:val="7E89687D"/>
    <w:rsid w:val="7E9957F7"/>
    <w:rsid w:val="7E9A34F8"/>
    <w:rsid w:val="7EA97676"/>
    <w:rsid w:val="7EAB1087"/>
    <w:rsid w:val="7EB21A52"/>
    <w:rsid w:val="7EBC2FA9"/>
    <w:rsid w:val="7EF46994"/>
    <w:rsid w:val="7EF70F9F"/>
    <w:rsid w:val="7F2F39F0"/>
    <w:rsid w:val="7F34276C"/>
    <w:rsid w:val="7F5E11EC"/>
    <w:rsid w:val="7F6F6558"/>
    <w:rsid w:val="7F78080A"/>
    <w:rsid w:val="7F7D5E69"/>
    <w:rsid w:val="7F904B8C"/>
    <w:rsid w:val="7FB0270D"/>
    <w:rsid w:val="7FC029D3"/>
    <w:rsid w:val="7FD22974"/>
    <w:rsid w:val="7FE61136"/>
    <w:rsid w:val="7FF8479F"/>
    <w:rsid w:val="7FF95D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Calibri" w:hAnsi="Calibri" w:eastAsia="仿宋" w:cs="Times New Roman"/>
      <w:sz w:val="24"/>
      <w:szCs w:val="22"/>
      <w:lang w:val="en-US" w:eastAsia="zh-CN" w:bidi="ar-SA"/>
    </w:rPr>
  </w:style>
  <w:style w:type="paragraph" w:styleId="2">
    <w:name w:val="heading 1"/>
    <w:basedOn w:val="1"/>
    <w:next w:val="3"/>
    <w:qFormat/>
    <w:uiPriority w:val="0"/>
    <w:pPr>
      <w:keepNext/>
      <w:keepLines/>
      <w:jc w:val="center"/>
      <w:outlineLvl w:val="0"/>
    </w:pPr>
    <w:rPr>
      <w:b/>
      <w:kern w:val="44"/>
      <w:sz w:val="32"/>
    </w:rPr>
  </w:style>
  <w:style w:type="paragraph" w:styleId="3">
    <w:name w:val="heading 2"/>
    <w:basedOn w:val="1"/>
    <w:next w:val="1"/>
    <w:link w:val="39"/>
    <w:unhideWhenUsed/>
    <w:qFormat/>
    <w:uiPriority w:val="0"/>
    <w:pPr>
      <w:keepNext/>
      <w:keepLines/>
      <w:jc w:val="center"/>
      <w:outlineLvl w:val="1"/>
    </w:pPr>
    <w:rPr>
      <w:rFonts w:ascii="仿宋" w:hAnsi="仿宋"/>
      <w:b/>
      <w:bCs/>
      <w:sz w:val="28"/>
      <w:szCs w:val="32"/>
    </w:rPr>
  </w:style>
  <w:style w:type="paragraph" w:styleId="4">
    <w:name w:val="heading 3"/>
    <w:basedOn w:val="1"/>
    <w:next w:val="1"/>
    <w:qFormat/>
    <w:uiPriority w:val="0"/>
    <w:pPr>
      <w:keepNext/>
      <w:keepLines/>
      <w:spacing w:beforeLines="50" w:afterLines="50"/>
      <w:jc w:val="center"/>
      <w:outlineLvl w:val="2"/>
    </w:pPr>
    <w:rPr>
      <w:rFonts w:ascii="仿宋" w:hAnsi="仿宋"/>
      <w:b/>
      <w:bCs/>
      <w:sz w:val="28"/>
      <w:szCs w:val="32"/>
    </w:rPr>
  </w:style>
  <w:style w:type="paragraph" w:styleId="5">
    <w:name w:val="heading 4"/>
    <w:basedOn w:val="1"/>
    <w:next w:val="1"/>
    <w:semiHidden/>
    <w:unhideWhenUsed/>
    <w:qFormat/>
    <w:uiPriority w:val="0"/>
    <w:pPr>
      <w:spacing w:beforeAutospacing="1" w:afterAutospacing="1"/>
      <w:outlineLvl w:val="3"/>
    </w:pPr>
    <w:rPr>
      <w:rFonts w:hint="eastAsia" w:ascii="宋体" w:hAnsi="宋体" w:eastAsia="宋体"/>
      <w:b/>
      <w:bCs/>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0"/>
    <w:pPr>
      <w:ind w:firstLine="420" w:firstLineChars="200"/>
    </w:pPr>
  </w:style>
  <w:style w:type="paragraph" w:styleId="7">
    <w:name w:val="toa heading"/>
    <w:basedOn w:val="1"/>
    <w:next w:val="1"/>
    <w:unhideWhenUsed/>
    <w:qFormat/>
    <w:uiPriority w:val="99"/>
    <w:pPr>
      <w:spacing w:before="120"/>
    </w:pPr>
    <w:rPr>
      <w:rFonts w:ascii="Calibri Light" w:hAnsi="Calibri Light"/>
    </w:rPr>
  </w:style>
  <w:style w:type="paragraph" w:styleId="8">
    <w:name w:val="annotation text"/>
    <w:basedOn w:val="1"/>
    <w:link w:val="40"/>
    <w:qFormat/>
    <w:uiPriority w:val="0"/>
    <w:pPr>
      <w:widowControl w:val="0"/>
    </w:pPr>
    <w:rPr>
      <w:rFonts w:eastAsia="宋体"/>
      <w:kern w:val="2"/>
      <w:sz w:val="21"/>
      <w:szCs w:val="24"/>
    </w:rPr>
  </w:style>
  <w:style w:type="paragraph" w:styleId="9">
    <w:name w:val="Body Text"/>
    <w:basedOn w:val="1"/>
    <w:next w:val="10"/>
    <w:qFormat/>
    <w:uiPriority w:val="0"/>
    <w:pPr>
      <w:ind w:left="117"/>
    </w:pPr>
    <w:rPr>
      <w:rFonts w:hint="eastAsia" w:ascii="微软雅黑" w:eastAsia="微软雅黑"/>
    </w:rPr>
  </w:style>
  <w:style w:type="paragraph" w:styleId="10">
    <w:name w:val="Body Text First Indent"/>
    <w:basedOn w:val="9"/>
    <w:qFormat/>
    <w:uiPriority w:val="0"/>
    <w:pPr>
      <w:ind w:firstLine="420" w:firstLineChars="100"/>
    </w:pPr>
  </w:style>
  <w:style w:type="paragraph" w:styleId="11">
    <w:name w:val="Body Text Indent"/>
    <w:basedOn w:val="1"/>
    <w:next w:val="12"/>
    <w:unhideWhenUsed/>
    <w:qFormat/>
    <w:uiPriority w:val="99"/>
    <w:pPr>
      <w:ind w:left="420" w:leftChars="200"/>
    </w:pPr>
  </w:style>
  <w:style w:type="paragraph" w:styleId="12">
    <w:name w:val="envelope return"/>
    <w:basedOn w:val="1"/>
    <w:qFormat/>
    <w:uiPriority w:val="0"/>
    <w:pPr>
      <w:snapToGrid w:val="0"/>
    </w:pPr>
    <w:rPr>
      <w:rFonts w:ascii="Arial" w:hAnsi="Arial"/>
    </w:rPr>
  </w:style>
  <w:style w:type="paragraph" w:styleId="13">
    <w:name w:val="Plain Text"/>
    <w:basedOn w:val="1"/>
    <w:next w:val="1"/>
    <w:qFormat/>
    <w:uiPriority w:val="0"/>
    <w:rPr>
      <w:rFonts w:ascii="宋体" w:hAnsi="Courier New"/>
      <w:sz w:val="20"/>
      <w:szCs w:val="21"/>
    </w:rPr>
  </w:style>
  <w:style w:type="paragraph" w:styleId="14">
    <w:name w:val="Balloon Text"/>
    <w:basedOn w:val="1"/>
    <w:link w:val="41"/>
    <w:qFormat/>
    <w:uiPriority w:val="0"/>
    <w:rPr>
      <w:sz w:val="18"/>
      <w:szCs w:val="18"/>
    </w:rPr>
  </w:style>
  <w:style w:type="paragraph" w:styleId="15">
    <w:name w:val="footer"/>
    <w:basedOn w:val="1"/>
    <w:qFormat/>
    <w:uiPriority w:val="0"/>
    <w:pPr>
      <w:tabs>
        <w:tab w:val="center" w:pos="4153"/>
        <w:tab w:val="right" w:pos="8306"/>
      </w:tabs>
      <w:snapToGrid w:val="0"/>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0"/>
    <w:pPr>
      <w:spacing w:line="600" w:lineRule="auto"/>
    </w:pPr>
    <w:rPr>
      <w:rFonts w:ascii="仿宋" w:hAnsi="仿宋" w:cs="仿宋"/>
      <w:sz w:val="30"/>
      <w:szCs w:val="28"/>
    </w:rPr>
  </w:style>
  <w:style w:type="paragraph" w:styleId="18">
    <w:name w:val="toc 2"/>
    <w:basedOn w:val="1"/>
    <w:next w:val="1"/>
    <w:qFormat/>
    <w:uiPriority w:val="0"/>
    <w:pPr>
      <w:ind w:left="210"/>
    </w:pPr>
    <w:rPr>
      <w:smallCaps/>
      <w:sz w:val="20"/>
    </w:rPr>
  </w:style>
  <w:style w:type="paragraph" w:styleId="19">
    <w:name w:val="Normal (Web)"/>
    <w:basedOn w:val="1"/>
    <w:qFormat/>
    <w:uiPriority w:val="99"/>
    <w:pPr>
      <w:spacing w:before="100" w:beforeAutospacing="1" w:after="100" w:afterAutospacing="1"/>
    </w:pPr>
    <w:rPr>
      <w:rFonts w:hAnsi="宋体" w:eastAsia="宋体" w:cs="宋体"/>
      <w:color w:val="000000"/>
      <w:szCs w:val="24"/>
    </w:rPr>
  </w:style>
  <w:style w:type="paragraph" w:styleId="20">
    <w:name w:val="Title"/>
    <w:basedOn w:val="1"/>
    <w:next w:val="1"/>
    <w:qFormat/>
    <w:uiPriority w:val="0"/>
    <w:pPr>
      <w:jc w:val="center"/>
    </w:pPr>
    <w:rPr>
      <w:b/>
      <w:bCs/>
      <w:szCs w:val="20"/>
    </w:rPr>
  </w:style>
  <w:style w:type="paragraph" w:styleId="21">
    <w:name w:val="Body Text First Indent 2"/>
    <w:basedOn w:val="11"/>
    <w:qFormat/>
    <w:uiPriority w:val="0"/>
    <w:pPr>
      <w:spacing w:after="120"/>
      <w:ind w:firstLine="420" w:firstLineChars="200"/>
    </w:pPr>
    <w:rPr>
      <w:rFonts w:ascii="Times New Roman"/>
      <w:sz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rFonts w:ascii="微软雅黑" w:hAnsi="微软雅黑" w:eastAsia="微软雅黑" w:cs="微软雅黑"/>
      <w:b/>
      <w:sz w:val="18"/>
      <w:szCs w:val="18"/>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rPr>
      <w:shd w:val="clear" w:color="auto" w:fill="FFFFFF"/>
    </w:rPr>
  </w:style>
  <w:style w:type="character" w:styleId="32">
    <w:name w:val="HTML Variable"/>
    <w:basedOn w:val="24"/>
    <w:qFormat/>
    <w:uiPriority w:val="0"/>
  </w:style>
  <w:style w:type="character" w:styleId="33">
    <w:name w:val="Hyperlink"/>
    <w:basedOn w:val="24"/>
    <w:qFormat/>
    <w:uiPriority w:val="0"/>
    <w:rPr>
      <w:color w:val="333333"/>
      <w:u w:val="none"/>
    </w:rPr>
  </w:style>
  <w:style w:type="character" w:styleId="34">
    <w:name w:val="HTML Code"/>
    <w:basedOn w:val="24"/>
    <w:qFormat/>
    <w:uiPriority w:val="0"/>
    <w:rPr>
      <w:rFonts w:hint="default" w:ascii="monospace" w:hAnsi="monospace" w:eastAsia="monospace" w:cs="monospace"/>
      <w:sz w:val="20"/>
    </w:rPr>
  </w:style>
  <w:style w:type="character" w:styleId="35">
    <w:name w:val="annotation reference"/>
    <w:qFormat/>
    <w:uiPriority w:val="0"/>
    <w:rPr>
      <w:sz w:val="21"/>
      <w:szCs w:val="21"/>
    </w:rPr>
  </w:style>
  <w:style w:type="character" w:styleId="36">
    <w:name w:val="HTML Cite"/>
    <w:basedOn w:val="24"/>
    <w:qFormat/>
    <w:uiPriority w:val="0"/>
  </w:style>
  <w:style w:type="character" w:styleId="37">
    <w:name w:val="HTML Keyboard"/>
    <w:basedOn w:val="24"/>
    <w:qFormat/>
    <w:uiPriority w:val="0"/>
    <w:rPr>
      <w:rFonts w:ascii="monospace" w:hAnsi="monospace" w:eastAsia="monospace" w:cs="monospace"/>
      <w:sz w:val="20"/>
    </w:rPr>
  </w:style>
  <w:style w:type="character" w:styleId="38">
    <w:name w:val="HTML Sample"/>
    <w:basedOn w:val="24"/>
    <w:qFormat/>
    <w:uiPriority w:val="0"/>
    <w:rPr>
      <w:rFonts w:hint="default" w:ascii="monospace" w:hAnsi="monospace" w:eastAsia="monospace" w:cs="monospace"/>
    </w:rPr>
  </w:style>
  <w:style w:type="character" w:customStyle="1" w:styleId="39">
    <w:name w:val="标题 2 Char"/>
    <w:basedOn w:val="24"/>
    <w:link w:val="3"/>
    <w:qFormat/>
    <w:uiPriority w:val="0"/>
    <w:rPr>
      <w:rFonts w:ascii="仿宋" w:hAnsi="仿宋" w:eastAsia="仿宋"/>
      <w:b/>
      <w:bCs/>
      <w:sz w:val="28"/>
      <w:szCs w:val="32"/>
    </w:rPr>
  </w:style>
  <w:style w:type="character" w:customStyle="1" w:styleId="40">
    <w:name w:val="批注文字 Char1"/>
    <w:link w:val="8"/>
    <w:qFormat/>
    <w:uiPriority w:val="0"/>
    <w:rPr>
      <w:kern w:val="2"/>
      <w:sz w:val="21"/>
      <w:szCs w:val="24"/>
    </w:rPr>
  </w:style>
  <w:style w:type="character" w:customStyle="1" w:styleId="41">
    <w:name w:val="批注框文本 Char"/>
    <w:basedOn w:val="24"/>
    <w:link w:val="14"/>
    <w:qFormat/>
    <w:uiPriority w:val="0"/>
    <w:rPr>
      <w:rFonts w:ascii="Calibri" w:hAnsi="Calibri" w:eastAsia="宋体" w:cs="Times New Roman"/>
      <w:sz w:val="18"/>
      <w:szCs w:val="18"/>
    </w:rPr>
  </w:style>
  <w:style w:type="paragraph" w:customStyle="1" w:styleId="42">
    <w:name w:val="BodyText1I2"/>
    <w:basedOn w:val="43"/>
    <w:qFormat/>
    <w:uiPriority w:val="0"/>
    <w:pPr>
      <w:spacing w:after="120" w:line="240" w:lineRule="auto"/>
      <w:ind w:left="420" w:leftChars="200" w:firstLine="420" w:firstLineChars="200"/>
    </w:pPr>
    <w:rPr>
      <w:rFonts w:ascii="Times New Roman"/>
      <w:sz w:val="21"/>
    </w:rPr>
  </w:style>
  <w:style w:type="paragraph" w:customStyle="1" w:styleId="43">
    <w:name w:val="BodyTextIndent"/>
    <w:basedOn w:val="1"/>
    <w:next w:val="42"/>
    <w:qFormat/>
    <w:uiPriority w:val="0"/>
    <w:pPr>
      <w:ind w:firstLine="480"/>
      <w:textAlignment w:val="baseline"/>
    </w:pPr>
    <w:rPr>
      <w:rFonts w:ascii="宋体" w:hAnsi="宋体" w:eastAsia="仿宋_GB2312"/>
      <w:b/>
      <w:spacing w:val="4"/>
      <w:szCs w:val="28"/>
    </w:rPr>
  </w:style>
  <w:style w:type="paragraph" w:customStyle="1" w:styleId="44">
    <w:name w:val="NormalIndent"/>
    <w:basedOn w:val="1"/>
    <w:qFormat/>
    <w:uiPriority w:val="0"/>
    <w:pPr>
      <w:ind w:firstLine="420" w:firstLineChars="200"/>
    </w:pPr>
    <w:rPr>
      <w:rFonts w:ascii="仿宋_GB2312" w:eastAsia="仿宋_GB2312"/>
      <w:sz w:val="30"/>
      <w:szCs w:val="30"/>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样式2"/>
    <w:basedOn w:val="3"/>
    <w:next w:val="1"/>
    <w:qFormat/>
    <w:uiPriority w:val="99"/>
    <w:pPr>
      <w:spacing w:before="240" w:after="240" w:line="480" w:lineRule="exact"/>
    </w:pPr>
    <w:rPr>
      <w:rFonts w:eastAsia="楷体_GB2312"/>
      <w:kern w:val="2"/>
    </w:rPr>
  </w:style>
  <w:style w:type="paragraph" w:customStyle="1" w:styleId="47">
    <w:name w:val="BodyText1I"/>
    <w:basedOn w:val="1"/>
    <w:qFormat/>
    <w:uiPriority w:val="0"/>
    <w:pPr>
      <w:ind w:firstLine="420" w:firstLineChars="100"/>
    </w:pPr>
  </w:style>
  <w:style w:type="paragraph" w:customStyle="1" w:styleId="48">
    <w:name w:val="WPSOffice手动目录 1"/>
    <w:qFormat/>
    <w:uiPriority w:val="0"/>
    <w:rPr>
      <w:rFonts w:ascii="Times New Roman" w:hAnsi="Times New Roman" w:eastAsia="宋体" w:cs="Times New Roman"/>
      <w:sz w:val="21"/>
      <w:szCs w:val="22"/>
      <w:lang w:val="en-US" w:eastAsia="zh-CN" w:bidi="ar-SA"/>
    </w:rPr>
  </w:style>
  <w:style w:type="paragraph" w:customStyle="1" w:styleId="49">
    <w:name w:val="Table Paragraph"/>
    <w:basedOn w:val="1"/>
    <w:qFormat/>
    <w:uiPriority w:val="1"/>
    <w:pPr>
      <w:autoSpaceDE w:val="0"/>
      <w:autoSpaceDN w:val="0"/>
    </w:pPr>
    <w:rPr>
      <w:rFonts w:ascii="宋体" w:hAnsi="宋体" w:eastAsia="宋体" w:cs="宋体"/>
      <w:lang w:val="ja-JP" w:eastAsia="ja-JP" w:bidi="ja-JP"/>
    </w:rPr>
  </w:style>
  <w:style w:type="character" w:customStyle="1" w:styleId="50">
    <w:name w:val="fontstyle01"/>
    <w:basedOn w:val="24"/>
    <w:qFormat/>
    <w:uiPriority w:val="0"/>
    <w:rPr>
      <w:rFonts w:hint="eastAsia" w:ascii="宋体" w:hAnsi="宋体" w:eastAsia="宋体"/>
      <w:color w:val="000000"/>
      <w:sz w:val="22"/>
      <w:szCs w:val="22"/>
    </w:rPr>
  </w:style>
  <w:style w:type="paragraph" w:styleId="51">
    <w:name w:val="List Paragraph"/>
    <w:basedOn w:val="1"/>
    <w:qFormat/>
    <w:uiPriority w:val="34"/>
    <w:pPr>
      <w:ind w:firstLine="420" w:firstLineChars="200"/>
    </w:pPr>
    <w:rPr>
      <w:rFonts w:eastAsia="宋体"/>
      <w:sz w:val="21"/>
      <w:szCs w:val="24"/>
    </w:rPr>
  </w:style>
  <w:style w:type="character" w:customStyle="1" w:styleId="52">
    <w:name w:val="NormalCharacter"/>
    <w:semiHidden/>
    <w:qFormat/>
    <w:uiPriority w:val="0"/>
  </w:style>
  <w:style w:type="paragraph" w:customStyle="1" w:styleId="53">
    <w:name w:val="正文文本 + 首行缩进:  2 字符"/>
    <w:basedOn w:val="9"/>
    <w:qFormat/>
    <w:uiPriority w:val="0"/>
    <w:pPr>
      <w:ind w:firstLine="382"/>
    </w:pPr>
    <w:rPr>
      <w:rFonts w:cs="宋体"/>
      <w:szCs w:val="21"/>
    </w:rPr>
  </w:style>
  <w:style w:type="paragraph" w:customStyle="1" w:styleId="54">
    <w:name w:val="列出段落1"/>
    <w:basedOn w:val="1"/>
    <w:qFormat/>
    <w:uiPriority w:val="99"/>
    <w:pPr>
      <w:ind w:firstLine="420" w:firstLineChars="200"/>
    </w:pPr>
    <w:rPr>
      <w:rFonts w:eastAsia="宋体"/>
      <w:kern w:val="2"/>
      <w:sz w:val="21"/>
    </w:rPr>
  </w:style>
  <w:style w:type="character" w:customStyle="1" w:styleId="55">
    <w:name w:val="font31"/>
    <w:basedOn w:val="24"/>
    <w:qFormat/>
    <w:uiPriority w:val="0"/>
    <w:rPr>
      <w:rFonts w:hint="eastAsia" w:ascii="宋体" w:hAnsi="宋体" w:eastAsia="宋体" w:cs="宋体"/>
      <w:color w:val="000000"/>
      <w:sz w:val="19"/>
      <w:szCs w:val="19"/>
      <w:u w:val="none"/>
    </w:rPr>
  </w:style>
  <w:style w:type="character" w:customStyle="1" w:styleId="56">
    <w:name w:val="font11"/>
    <w:basedOn w:val="24"/>
    <w:qFormat/>
    <w:uiPriority w:val="0"/>
    <w:rPr>
      <w:rFonts w:hint="eastAsia" w:ascii="宋体" w:hAnsi="宋体" w:eastAsia="宋体" w:cs="宋体"/>
      <w:b/>
      <w:color w:val="000000"/>
      <w:sz w:val="19"/>
      <w:szCs w:val="19"/>
      <w:u w:val="none"/>
    </w:rPr>
  </w:style>
  <w:style w:type="character" w:customStyle="1" w:styleId="57">
    <w:name w:val="font01"/>
    <w:basedOn w:val="24"/>
    <w:qFormat/>
    <w:uiPriority w:val="0"/>
    <w:rPr>
      <w:rFonts w:hint="eastAsia" w:ascii="宋体" w:hAnsi="宋体" w:eastAsia="宋体" w:cs="宋体"/>
      <w:color w:val="FF0000"/>
      <w:sz w:val="19"/>
      <w:szCs w:val="19"/>
      <w:u w:val="none"/>
    </w:rPr>
  </w:style>
  <w:style w:type="paragraph" w:customStyle="1" w:styleId="58">
    <w:name w:val="正文2"/>
    <w:basedOn w:val="1"/>
    <w:qFormat/>
    <w:uiPriority w:val="0"/>
    <w:pPr>
      <w:ind w:firstLine="200" w:firstLineChars="200"/>
    </w:pPr>
  </w:style>
  <w:style w:type="paragraph" w:customStyle="1" w:styleId="59">
    <w:name w:val="S正文"/>
    <w:basedOn w:val="1"/>
    <w:qFormat/>
    <w:uiPriority w:val="99"/>
    <w:pPr>
      <w:ind w:firstLine="480" w:firstLineChars="200"/>
    </w:pPr>
    <w:rPr>
      <w:rFonts w:ascii="宋体" w:hAnsi="宋体"/>
      <w:color w:val="984806"/>
    </w:rPr>
  </w:style>
  <w:style w:type="paragraph" w:customStyle="1" w:styleId="60">
    <w:name w:val="S功能点"/>
    <w:basedOn w:val="1"/>
    <w:qFormat/>
    <w:uiPriority w:val="99"/>
    <w:pPr>
      <w:numPr>
        <w:ilvl w:val="0"/>
        <w:numId w:val="1"/>
      </w:numPr>
    </w:pPr>
    <w:rPr>
      <w:sz w:val="28"/>
    </w:rPr>
  </w:style>
  <w:style w:type="paragraph" w:customStyle="1" w:styleId="61">
    <w:name w:val="0正文"/>
    <w:qFormat/>
    <w:uiPriority w:val="0"/>
    <w:pPr>
      <w:widowControl w:val="0"/>
      <w:adjustRightInd w:val="0"/>
      <w:spacing w:line="360" w:lineRule="auto"/>
      <w:ind w:firstLine="48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62">
    <w:name w:val="批注文字 Char"/>
    <w:basedOn w:val="24"/>
    <w:qFormat/>
    <w:uiPriority w:val="0"/>
    <w:rPr>
      <w:rFonts w:ascii="Calibri" w:hAnsi="Calibri" w:eastAsia="宋体" w:cs="Times New Roman"/>
      <w:sz w:val="22"/>
      <w:szCs w:val="22"/>
    </w:rPr>
  </w:style>
  <w:style w:type="character" w:customStyle="1" w:styleId="63">
    <w:name w:val="font41"/>
    <w:basedOn w:val="24"/>
    <w:qFormat/>
    <w:uiPriority w:val="0"/>
    <w:rPr>
      <w:rFonts w:hint="eastAsia" w:ascii="宋体" w:hAnsi="宋体" w:eastAsia="宋体" w:cs="宋体"/>
      <w:color w:val="000000"/>
      <w:sz w:val="21"/>
      <w:szCs w:val="21"/>
      <w:u w:val="none"/>
    </w:rPr>
  </w:style>
  <w:style w:type="character" w:customStyle="1" w:styleId="64">
    <w:name w:val="font112"/>
    <w:basedOn w:val="24"/>
    <w:qFormat/>
    <w:uiPriority w:val="0"/>
    <w:rPr>
      <w:rFonts w:hint="eastAsia" w:ascii="宋体" w:hAnsi="宋体" w:eastAsia="宋体" w:cs="宋体"/>
      <w:b/>
      <w:color w:val="000000"/>
      <w:sz w:val="21"/>
      <w:szCs w:val="21"/>
      <w:u w:val="none"/>
    </w:rPr>
  </w:style>
  <w:style w:type="character" w:customStyle="1" w:styleId="65">
    <w:name w:val="font91"/>
    <w:basedOn w:val="24"/>
    <w:qFormat/>
    <w:uiPriority w:val="0"/>
    <w:rPr>
      <w:rFonts w:hint="eastAsia" w:ascii="宋体" w:hAnsi="宋体" w:eastAsia="宋体" w:cs="宋体"/>
      <w:b/>
      <w:color w:val="000000"/>
      <w:sz w:val="22"/>
      <w:szCs w:val="22"/>
      <w:u w:val="none"/>
    </w:rPr>
  </w:style>
  <w:style w:type="paragraph" w:customStyle="1" w:styleId="66">
    <w:name w:val="列表段落1"/>
    <w:basedOn w:val="1"/>
    <w:qFormat/>
    <w:uiPriority w:val="99"/>
    <w:pPr>
      <w:ind w:firstLine="420" w:firstLineChars="200"/>
    </w:pPr>
  </w:style>
  <w:style w:type="character" w:customStyle="1" w:styleId="67">
    <w:name w:val="fontstyle21"/>
    <w:basedOn w:val="24"/>
    <w:qFormat/>
    <w:uiPriority w:val="0"/>
    <w:rPr>
      <w:rFonts w:hint="default" w:ascii="仿宋" w:hAnsi="仿宋" w:eastAsia="宋体" w:cs="Times New Roman"/>
      <w:color w:val="000000"/>
      <w:sz w:val="30"/>
      <w:szCs w:val="30"/>
    </w:rPr>
  </w:style>
  <w:style w:type="paragraph" w:customStyle="1" w:styleId="68">
    <w:name w:val="纯文本1"/>
    <w:basedOn w:val="1"/>
    <w:qFormat/>
    <w:uiPriority w:val="99"/>
    <w:rPr>
      <w:sz w:val="18"/>
      <w:szCs w:val="18"/>
    </w:rPr>
  </w:style>
  <w:style w:type="paragraph" w:customStyle="1" w:styleId="69">
    <w:name w:val="列出段落2"/>
    <w:basedOn w:val="1"/>
    <w:qFormat/>
    <w:uiPriority w:val="34"/>
    <w:pPr>
      <w:ind w:firstLine="420" w:firstLineChars="200"/>
    </w:pPr>
    <w:rPr>
      <w:sz w:val="20"/>
      <w:szCs w:val="20"/>
    </w:rPr>
  </w:style>
  <w:style w:type="paragraph" w:customStyle="1" w:styleId="70">
    <w:name w:val="正文_0"/>
    <w:qFormat/>
    <w:uiPriority w:val="0"/>
    <w:pPr>
      <w:widowControl w:val="0"/>
      <w:jc w:val="both"/>
    </w:pPr>
    <w:rPr>
      <w:rFonts w:ascii="Calibri" w:hAnsi="Calibri" w:eastAsia="宋体" w:cs="Times New Roman"/>
      <w:kern w:val="2"/>
      <w:sz w:val="21"/>
      <w:lang w:val="en-US" w:eastAsia="zh-CN" w:bidi="ar-SA"/>
    </w:rPr>
  </w:style>
  <w:style w:type="paragraph" w:customStyle="1" w:styleId="71">
    <w:name w:val="正文1"/>
    <w:next w:val="72"/>
    <w:qFormat/>
    <w:uiPriority w:val="0"/>
    <w:rPr>
      <w:rFonts w:ascii="Calibri" w:hAnsi="Calibri" w:eastAsia="宋体" w:cs="Times New Roman"/>
      <w:sz w:val="22"/>
      <w:szCs w:val="22"/>
      <w:lang w:val="en-US" w:eastAsia="zh-CN" w:bidi="ar-SA"/>
    </w:rPr>
  </w:style>
  <w:style w:type="paragraph" w:customStyle="1" w:styleId="72">
    <w:name w:val="正文文本1"/>
    <w:basedOn w:val="71"/>
    <w:next w:val="71"/>
    <w:qFormat/>
    <w:uiPriority w:val="0"/>
    <w:pPr>
      <w:ind w:left="117"/>
    </w:pPr>
    <w:rPr>
      <w:rFonts w:ascii="微软雅黑" w:hAnsi="微软雅黑" w:eastAsia="微软雅黑"/>
      <w:sz w:val="24"/>
    </w:rPr>
  </w:style>
  <w:style w:type="paragraph" w:customStyle="1" w:styleId="73">
    <w:name w:val="正文 A"/>
    <w:qFormat/>
    <w:uiPriority w:val="0"/>
    <w:pPr>
      <w:widowControl w:val="0"/>
      <w:jc w:val="both"/>
    </w:pPr>
    <w:rPr>
      <w:rFonts w:ascii="Times New Roman" w:hAnsi="Arial Unicode MS" w:eastAsia="Times New Roman" w:cs="Arial Unicode MS"/>
      <w:color w:val="000000"/>
      <w:kern w:val="2"/>
      <w:sz w:val="21"/>
      <w:szCs w:val="21"/>
      <w:lang w:val="en-US" w:eastAsia="zh-CN" w:bidi="ar-SA"/>
    </w:rPr>
  </w:style>
  <w:style w:type="character" w:customStyle="1" w:styleId="74">
    <w:name w:val="Hyperlink.0"/>
    <w:basedOn w:val="75"/>
    <w:qFormat/>
    <w:uiPriority w:val="0"/>
    <w:rPr>
      <w:rFonts w:ascii="仿宋" w:hAnsi="仿宋" w:eastAsia="仿宋" w:cs="仿宋"/>
      <w:color w:val="000000"/>
      <w:kern w:val="0"/>
      <w:sz w:val="24"/>
      <w:szCs w:val="24"/>
      <w:lang w:val="en-US"/>
    </w:rPr>
  </w:style>
  <w:style w:type="character" w:customStyle="1" w:styleId="75">
    <w:name w:val="无"/>
    <w:qFormat/>
    <w:uiPriority w:val="0"/>
    <w:rPr>
      <w:lang w:val="zh-TW" w:eastAsia="zh-TW"/>
    </w:rPr>
  </w:style>
  <w:style w:type="character" w:customStyle="1" w:styleId="76">
    <w:name w:val="Hyperlink.1"/>
    <w:basedOn w:val="75"/>
    <w:qFormat/>
    <w:uiPriority w:val="0"/>
    <w:rPr>
      <w:rFonts w:ascii="仿宋" w:hAnsi="仿宋" w:eastAsia="仿宋" w:cs="仿宋"/>
      <w:color w:val="000000"/>
      <w:kern w:val="0"/>
      <w:sz w:val="24"/>
      <w:szCs w:val="24"/>
      <w:lang w:val="zh-TW" w:eastAsia="zh-TW"/>
    </w:rPr>
  </w:style>
  <w:style w:type="paragraph" w:customStyle="1" w:styleId="77">
    <w:name w:val="首行缩进"/>
    <w:basedOn w:val="1"/>
    <w:qFormat/>
    <w:uiPriority w:val="0"/>
    <w:pPr>
      <w:ind w:firstLine="480" w:firstLineChars="200"/>
    </w:pPr>
    <w:rPr>
      <w:rFonts w:ascii="宋体" w:hAnsi="宋体" w:cs="宋体"/>
    </w:rPr>
  </w:style>
  <w:style w:type="paragraph" w:customStyle="1" w:styleId="78">
    <w:name w:val="BodyText"/>
    <w:basedOn w:val="1"/>
    <w:next w:val="1"/>
    <w:qFormat/>
    <w:uiPriority w:val="0"/>
    <w:pPr>
      <w:textAlignment w:val="baseline"/>
    </w:pPr>
    <w:rPr>
      <w:rFonts w:eastAsia="宋体"/>
      <w:b/>
      <w:szCs w:val="24"/>
    </w:rPr>
  </w:style>
  <w:style w:type="paragraph" w:customStyle="1" w:styleId="79">
    <w:name w:val="普通正文"/>
    <w:basedOn w:val="1"/>
    <w:qFormat/>
    <w:uiPriority w:val="0"/>
    <w:pPr>
      <w:ind w:firstLine="480"/>
    </w:pPr>
    <w:rPr>
      <w:rFonts w:ascii="Arial" w:hAnsi="Arial" w:eastAsia="宋体"/>
      <w:szCs w:val="24"/>
    </w:rPr>
  </w:style>
  <w:style w:type="character" w:customStyle="1" w:styleId="80">
    <w:name w:val="font21"/>
    <w:basedOn w:val="24"/>
    <w:qFormat/>
    <w:uiPriority w:val="0"/>
    <w:rPr>
      <w:rFonts w:hint="eastAsia" w:ascii="宋体" w:hAnsi="宋体" w:cs="宋体"/>
      <w:kern w:val="0"/>
      <w:sz w:val="18"/>
      <w:szCs w:val="18"/>
    </w:rPr>
  </w:style>
  <w:style w:type="paragraph" w:customStyle="1" w:styleId="81">
    <w:name w:val="标题 61"/>
    <w:basedOn w:val="1"/>
    <w:qFormat/>
    <w:uiPriority w:val="0"/>
    <w:pPr>
      <w:autoSpaceDE w:val="0"/>
      <w:autoSpaceDN w:val="0"/>
      <w:adjustRightInd w:val="0"/>
      <w:ind w:left="216"/>
      <w:outlineLvl w:val="5"/>
    </w:pPr>
    <w:rPr>
      <w:rFonts w:ascii="宋体" w:cs="宋体"/>
      <w:b/>
      <w:bCs/>
      <w:szCs w:val="24"/>
    </w:rPr>
  </w:style>
  <w:style w:type="table" w:customStyle="1" w:styleId="82">
    <w:name w:val="Table Normal"/>
    <w:unhideWhenUsed/>
    <w:qFormat/>
    <w:uiPriority w:val="0"/>
    <w:tblPr>
      <w:tblCellMar>
        <w:top w:w="0" w:type="dxa"/>
        <w:left w:w="0" w:type="dxa"/>
        <w:bottom w:w="0" w:type="dxa"/>
        <w:right w:w="0" w:type="dxa"/>
      </w:tblCellMar>
    </w:tblPr>
  </w:style>
  <w:style w:type="paragraph" w:customStyle="1" w:styleId="83">
    <w:name w:val="Heading #2|1"/>
    <w:basedOn w:val="1"/>
    <w:qFormat/>
    <w:uiPriority w:val="0"/>
    <w:pPr>
      <w:widowControl w:val="0"/>
      <w:spacing w:after="580" w:line="634" w:lineRule="exact"/>
      <w:jc w:val="center"/>
      <w:outlineLvl w:val="1"/>
    </w:pPr>
    <w:rPr>
      <w:rFonts w:ascii="宋体" w:hAnsi="宋体" w:eastAsia="宋体" w:cs="宋体"/>
      <w:sz w:val="44"/>
      <w:szCs w:val="44"/>
      <w:lang w:val="zh-TW" w:eastAsia="zh-TW" w:bidi="zh-TW"/>
    </w:rPr>
  </w:style>
  <w:style w:type="paragraph" w:customStyle="1" w:styleId="84">
    <w:name w:val="Body text|1"/>
    <w:basedOn w:val="1"/>
    <w:qFormat/>
    <w:uiPriority w:val="0"/>
    <w:pPr>
      <w:widowControl w:val="0"/>
      <w:spacing w:line="432" w:lineRule="auto"/>
      <w:ind w:firstLine="400"/>
    </w:pPr>
    <w:rPr>
      <w:rFonts w:ascii="宋体" w:hAnsi="宋体" w:eastAsia="宋体" w:cs="宋体"/>
      <w:sz w:val="30"/>
      <w:szCs w:val="30"/>
      <w:lang w:val="zh-TW" w:eastAsia="zh-TW" w:bidi="zh-TW"/>
    </w:rPr>
  </w:style>
  <w:style w:type="paragraph" w:customStyle="1" w:styleId="85">
    <w:name w:val="Body text|2"/>
    <w:basedOn w:val="1"/>
    <w:qFormat/>
    <w:uiPriority w:val="0"/>
    <w:pPr>
      <w:widowControl w:val="0"/>
    </w:pPr>
    <w:rPr>
      <w:rFonts w:ascii="宋体" w:hAnsi="宋体" w:eastAsia="宋体" w:cs="宋体"/>
      <w:sz w:val="26"/>
      <w:szCs w:val="26"/>
      <w:lang w:val="zh-TW" w:eastAsia="zh-TW" w:bidi="zh-TW"/>
    </w:rPr>
  </w:style>
  <w:style w:type="paragraph" w:customStyle="1" w:styleId="86">
    <w:name w:val="正文缩进1"/>
    <w:basedOn w:val="1"/>
    <w:qFormat/>
    <w:uiPriority w:val="0"/>
    <w:pPr>
      <w:ind w:firstLine="420" w:firstLineChars="200"/>
    </w:pPr>
  </w:style>
  <w:style w:type="paragraph" w:customStyle="1" w:styleId="87">
    <w:name w:val="Table Text"/>
    <w:basedOn w:val="1"/>
    <w:semiHidden/>
    <w:qFormat/>
    <w:uiPriority w:val="0"/>
  </w:style>
  <w:style w:type="paragraph" w:customStyle="1" w:styleId="88">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47</Pages>
  <Words>1424</Words>
  <Characters>1559</Characters>
  <Lines>94</Lines>
  <Paragraphs>26</Paragraphs>
  <TotalTime>5</TotalTime>
  <ScaleCrop>false</ScaleCrop>
  <LinksUpToDate>false</LinksUpToDate>
  <CharactersWithSpaces>1583</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2020-06-04T09:02:00Z</dcterms:created>
  <dc:creator>ASUS</dc:creator>
  <cp:lastModifiedBy>刘鑫磊</cp:lastModifiedBy>
  <cp:lastPrinted>2026-07-14T01:08:00Z</cp:lastPrinted>
  <dcterms:modified xsi:type="dcterms:W3CDTF">2026-07-16T08:07:06Z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B3D317B346A34D44AEE6BBBBCC017413_13</vt:lpwstr>
  </property>
  <property fmtid="{D5CDD505-2E9C-101B-9397-08002B2CF9AE}" pid="4" name="commondata">
    <vt:lpwstr>eyJoZGlkIjoiMzZkYTUzOWJkMzQzMzFiMzk3YTQxYTYxNjE0NWM3ZGMifQ==</vt:lpwstr>
  </property>
  <property fmtid="{D5CDD505-2E9C-101B-9397-08002B2CF9AE}" pid="5" name="KSOTemplateDocerSaveRecord">
    <vt:lpwstr>eyJoZGlkIjoiZjFmZWIzNDg2MmIzZjExOTIzMmViNTBmYTMwYTk0ZWYiLCJ1c2VySWQiOiI2MjMzMjUzMzkifQ==</vt:lpwstr>
  </property>
</Properties>
</file>