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DA6FB">
      <w:pPr>
        <w:spacing w:line="540" w:lineRule="exact"/>
        <w:jc w:val="both"/>
        <w:rPr>
          <w:rFonts w:ascii="宋体" w:hAnsi="宋体" w:eastAsia="宋体"/>
          <w:color w:val="auto"/>
          <w:sz w:val="44"/>
          <w:szCs w:val="44"/>
        </w:rPr>
      </w:pPr>
    </w:p>
    <w:p w14:paraId="2D804A70">
      <w:pPr>
        <w:jc w:val="center"/>
        <w:rPr>
          <w:rFonts w:hint="eastAsia" w:hAnsi="仿宋" w:cs="仿宋"/>
          <w:b/>
          <w:bCs/>
          <w:color w:val="auto"/>
          <w:sz w:val="36"/>
          <w:szCs w:val="36"/>
          <w:lang w:val="en-US" w:eastAsia="zh-CN"/>
        </w:rPr>
      </w:pPr>
      <w:r>
        <w:rPr>
          <w:rFonts w:hint="eastAsia" w:hAnsi="仿宋" w:cs="仿宋"/>
          <w:b/>
          <w:bCs/>
          <w:color w:val="auto"/>
          <w:sz w:val="36"/>
          <w:szCs w:val="36"/>
          <w:lang w:val="en-US" w:eastAsia="zh-CN"/>
        </w:rPr>
        <w:t>城镇综合开发万安县润安林溪湾建设项目</w:t>
      </w:r>
    </w:p>
    <w:p w14:paraId="6BF76E40">
      <w:pPr>
        <w:jc w:val="center"/>
        <w:rPr>
          <w:rFonts w:hint="default" w:ascii="黑体" w:hAnsi="黑体" w:eastAsia="黑体"/>
          <w:color w:val="auto"/>
          <w:sz w:val="30"/>
          <w:szCs w:val="30"/>
          <w:lang w:val="en-US"/>
        </w:rPr>
      </w:pPr>
      <w:r>
        <w:rPr>
          <w:rFonts w:hint="eastAsia" w:hAnsi="仿宋" w:cs="仿宋"/>
          <w:b/>
          <w:bCs/>
          <w:color w:val="auto"/>
          <w:sz w:val="36"/>
          <w:szCs w:val="36"/>
          <w:lang w:val="en-US" w:eastAsia="zh-CN"/>
        </w:rPr>
        <w:t>物料提升机租赁单位选取项目</w:t>
      </w:r>
    </w:p>
    <w:p w14:paraId="29095D03">
      <w:pPr>
        <w:rPr>
          <w:rFonts w:ascii="黑体" w:hAnsi="黑体" w:eastAsia="黑体"/>
          <w:color w:val="auto"/>
          <w:sz w:val="30"/>
          <w:szCs w:val="30"/>
        </w:rPr>
      </w:pPr>
    </w:p>
    <w:p w14:paraId="046D38D3">
      <w:pPr>
        <w:rPr>
          <w:rFonts w:ascii="黑体" w:hAnsi="黑体" w:eastAsia="黑体"/>
          <w:color w:val="auto"/>
          <w:sz w:val="30"/>
          <w:szCs w:val="30"/>
        </w:rPr>
      </w:pPr>
    </w:p>
    <w:p w14:paraId="0613236B">
      <w:pPr>
        <w:rPr>
          <w:rFonts w:ascii="黑体" w:hAnsi="黑体" w:eastAsia="黑体"/>
          <w:color w:val="auto"/>
          <w:sz w:val="30"/>
          <w:szCs w:val="30"/>
        </w:rPr>
      </w:pPr>
    </w:p>
    <w:p w14:paraId="5B0FA520">
      <w:pPr>
        <w:rPr>
          <w:rFonts w:ascii="黑体" w:hAnsi="黑体" w:eastAsia="黑体"/>
          <w:color w:val="auto"/>
          <w:sz w:val="30"/>
          <w:szCs w:val="30"/>
        </w:rPr>
      </w:pPr>
    </w:p>
    <w:p w14:paraId="4B1C10F9">
      <w:pPr>
        <w:rPr>
          <w:rFonts w:ascii="黑体" w:hAnsi="黑体" w:eastAsia="黑体"/>
          <w:color w:val="auto"/>
          <w:sz w:val="30"/>
          <w:szCs w:val="30"/>
        </w:rPr>
      </w:pPr>
    </w:p>
    <w:p w14:paraId="6484C76C">
      <w:pPr>
        <w:pStyle w:val="6"/>
        <w:rPr>
          <w:rFonts w:ascii="黑体" w:hAnsi="黑体" w:eastAsia="黑体"/>
          <w:color w:val="auto"/>
          <w:sz w:val="30"/>
          <w:szCs w:val="30"/>
        </w:rPr>
      </w:pPr>
    </w:p>
    <w:p w14:paraId="515FF690">
      <w:pPr>
        <w:pStyle w:val="6"/>
        <w:rPr>
          <w:rFonts w:ascii="黑体" w:hAnsi="黑体" w:eastAsia="黑体"/>
          <w:color w:val="auto"/>
          <w:sz w:val="30"/>
          <w:szCs w:val="30"/>
        </w:rPr>
      </w:pPr>
    </w:p>
    <w:p w14:paraId="25EE1307">
      <w:pPr>
        <w:rPr>
          <w:rFonts w:ascii="黑体" w:hAnsi="黑体" w:eastAsia="黑体"/>
          <w:color w:val="auto"/>
          <w:sz w:val="30"/>
          <w:szCs w:val="30"/>
        </w:rPr>
      </w:pPr>
    </w:p>
    <w:p w14:paraId="420559E1">
      <w:pPr>
        <w:pStyle w:val="6"/>
        <w:rPr>
          <w:rFonts w:ascii="黑体" w:hAnsi="黑体" w:eastAsia="黑体"/>
          <w:color w:val="auto"/>
          <w:sz w:val="30"/>
          <w:szCs w:val="30"/>
        </w:rPr>
      </w:pPr>
    </w:p>
    <w:p w14:paraId="7230759B">
      <w:pPr>
        <w:pStyle w:val="6"/>
        <w:rPr>
          <w:rFonts w:ascii="黑体" w:hAnsi="黑体" w:eastAsia="黑体"/>
          <w:color w:val="auto"/>
          <w:sz w:val="30"/>
          <w:szCs w:val="30"/>
        </w:rPr>
      </w:pPr>
    </w:p>
    <w:p w14:paraId="49C006AD">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万安县跃邦建筑工程有限公司</w:t>
      </w:r>
    </w:p>
    <w:p w14:paraId="40C2F29C">
      <w:pPr>
        <w:ind w:firstLine="3213" w:firstLineChars="1000"/>
        <w:rPr>
          <w:b/>
          <w:bCs/>
          <w:color w:val="auto"/>
        </w:rPr>
      </w:pPr>
      <w:r>
        <w:rPr>
          <w:rFonts w:hint="eastAsia" w:ascii="仿宋" w:hAnsi="仿宋" w:eastAsia="仿宋" w:cs="仿宋"/>
          <w:b/>
          <w:bCs/>
          <w:color w:val="auto"/>
          <w:sz w:val="32"/>
          <w:szCs w:val="32"/>
        </w:rPr>
        <w:t>二〇二</w:t>
      </w:r>
      <w:r>
        <w:rPr>
          <w:rFonts w:hint="eastAsia" w:hAnsi="仿宋" w:cs="仿宋"/>
          <w:b/>
          <w:bCs/>
          <w:color w:val="auto"/>
          <w:sz w:val="32"/>
          <w:szCs w:val="32"/>
          <w:lang w:val="en-US" w:eastAsia="zh-CN"/>
        </w:rPr>
        <w:t>六</w:t>
      </w:r>
      <w:r>
        <w:rPr>
          <w:rFonts w:hint="eastAsia" w:ascii="仿宋" w:hAnsi="仿宋" w:eastAsia="仿宋" w:cs="仿宋"/>
          <w:b/>
          <w:bCs/>
          <w:color w:val="auto"/>
          <w:sz w:val="32"/>
          <w:szCs w:val="32"/>
        </w:rPr>
        <w:t>年</w:t>
      </w:r>
      <w:r>
        <w:rPr>
          <w:rFonts w:hint="eastAsia" w:hAnsi="仿宋" w:cs="仿宋"/>
          <w:b/>
          <w:bCs/>
          <w:color w:val="auto"/>
          <w:sz w:val="32"/>
          <w:szCs w:val="32"/>
          <w:lang w:val="en-US" w:eastAsia="zh-CN"/>
        </w:rPr>
        <w:t>六</w:t>
      </w:r>
      <w:r>
        <w:rPr>
          <w:rFonts w:hint="eastAsia" w:ascii="仿宋" w:hAnsi="仿宋" w:eastAsia="仿宋" w:cs="仿宋"/>
          <w:b/>
          <w:bCs/>
          <w:color w:val="auto"/>
          <w:sz w:val="32"/>
          <w:szCs w:val="32"/>
        </w:rPr>
        <w:t>月</w:t>
      </w:r>
      <w:r>
        <w:rPr>
          <w:rFonts w:ascii="黑体" w:hAnsi="黑体" w:eastAsia="黑体"/>
          <w:color w:val="auto"/>
          <w:sz w:val="30"/>
          <w:szCs w:val="30"/>
        </w:rPr>
        <w:br w:type="page"/>
      </w:r>
    </w:p>
    <w:p w14:paraId="4CD63840">
      <w:pPr>
        <w:pStyle w:val="2"/>
        <w:spacing w:after="0" w:afterAutospacing="0"/>
        <w:rPr>
          <w:rFonts w:hint="eastAsia" w:ascii="仿宋" w:hAnsi="仿宋" w:eastAsia="仿宋" w:cs="仿宋"/>
          <w:b/>
          <w:bCs/>
          <w:color w:val="auto"/>
          <w:sz w:val="32"/>
          <w:szCs w:val="32"/>
        </w:rPr>
      </w:pPr>
      <w:bookmarkStart w:id="0" w:name="_Toc14354"/>
      <w:bookmarkStart w:id="1" w:name="_Toc126156664"/>
      <w:bookmarkStart w:id="2" w:name="_Toc126132839"/>
      <w:r>
        <w:rPr>
          <w:rFonts w:hint="eastAsia" w:ascii="仿宋" w:hAnsi="仿宋" w:eastAsia="仿宋" w:cs="仿宋"/>
          <w:b/>
          <w:bCs/>
          <w:color w:val="auto"/>
          <w:sz w:val="32"/>
          <w:szCs w:val="32"/>
        </w:rPr>
        <w:t xml:space="preserve"> 采购公告</w:t>
      </w:r>
      <w:bookmarkEnd w:id="0"/>
      <w:bookmarkEnd w:id="1"/>
      <w:bookmarkEnd w:id="2"/>
    </w:p>
    <w:p w14:paraId="119F8F50">
      <w:pPr>
        <w:pBdr>
          <w:top w:val="single" w:color="auto" w:sz="4" w:space="1"/>
          <w:left w:val="single" w:color="auto" w:sz="4" w:space="4"/>
          <w:bottom w:val="single" w:color="auto" w:sz="4" w:space="1"/>
          <w:right w:val="single" w:color="auto" w:sz="4" w:space="6"/>
        </w:pBdr>
        <w:spacing w:beforeAutospacing="0" w:afterAutospacing="0"/>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城镇综合开发万安县润安林溪湾建设项目物料提升机租赁单位选取项目 </w:t>
      </w:r>
      <w:r>
        <w:rPr>
          <w:rFonts w:hint="eastAsia" w:ascii="仿宋" w:hAnsi="仿宋" w:eastAsia="仿宋" w:cs="仿宋"/>
          <w:color w:val="auto"/>
          <w:sz w:val="24"/>
          <w:szCs w:val="24"/>
          <w:highlight w:val="none"/>
        </w:rPr>
        <w:t>的潜在投标人</w:t>
      </w:r>
      <w:r>
        <w:rPr>
          <w:rFonts w:hint="eastAsia" w:hAnsi="仿宋" w:cs="仿宋"/>
          <w:color w:val="auto"/>
          <w:sz w:val="24"/>
          <w:szCs w:val="24"/>
          <w:highlight w:val="none"/>
          <w:lang w:val="en-US" w:eastAsia="zh-CN"/>
        </w:rPr>
        <w:t>在万安城控集团微信公众号、万安县人民政府网、吉云采平台免费下载获取招标文件，并在</w:t>
      </w:r>
      <w:r>
        <w:rPr>
          <w:rFonts w:hint="eastAsia" w:ascii="仿宋" w:hAnsi="仿宋" w:eastAsia="仿宋" w:cs="仿宋"/>
          <w:color w:val="auto"/>
          <w:sz w:val="24"/>
          <w:szCs w:val="24"/>
          <w:highlight w:val="none"/>
        </w:rPr>
        <w:t>202</w:t>
      </w:r>
      <w:r>
        <w:rPr>
          <w:rFonts w:hint="eastAsia" w:hAnsi="仿宋" w:cs="仿宋"/>
          <w:color w:val="auto"/>
          <w:sz w:val="24"/>
          <w:szCs w:val="24"/>
          <w:highlight w:val="none"/>
          <w:lang w:val="en-US" w:eastAsia="zh-CN"/>
        </w:rPr>
        <w:t>6</w:t>
      </w:r>
      <w:r>
        <w:rPr>
          <w:rFonts w:hint="eastAsia" w:ascii="仿宋" w:hAnsi="仿宋" w:eastAsia="仿宋" w:cs="仿宋"/>
          <w:color w:val="auto"/>
          <w:sz w:val="24"/>
          <w:szCs w:val="24"/>
          <w:highlight w:val="none"/>
        </w:rPr>
        <w:t>年</w:t>
      </w:r>
      <w:r>
        <w:rPr>
          <w:rFonts w:hint="eastAsia" w:hAnsi="仿宋" w:cs="仿宋"/>
          <w:color w:val="auto"/>
          <w:sz w:val="24"/>
          <w:szCs w:val="24"/>
          <w:highlight w:val="none"/>
          <w:lang w:val="en-US" w:eastAsia="zh-CN"/>
        </w:rPr>
        <w:t>6</w:t>
      </w:r>
      <w:r>
        <w:rPr>
          <w:rFonts w:hint="eastAsia" w:ascii="仿宋" w:hAnsi="仿宋" w:eastAsia="仿宋" w:cs="仿宋"/>
          <w:color w:val="auto"/>
          <w:sz w:val="24"/>
          <w:szCs w:val="24"/>
          <w:highlight w:val="none"/>
        </w:rPr>
        <w:t>月</w:t>
      </w:r>
      <w:r>
        <w:rPr>
          <w:rFonts w:hint="eastAsia" w:hAnsi="仿宋" w:cs="仿宋"/>
          <w:color w:val="auto"/>
          <w:sz w:val="24"/>
          <w:szCs w:val="24"/>
          <w:highlight w:val="none"/>
          <w:lang w:val="en-US" w:eastAsia="zh-CN"/>
        </w:rPr>
        <w:t>22</w:t>
      </w:r>
      <w:r>
        <w:rPr>
          <w:rFonts w:hint="eastAsia" w:ascii="仿宋" w:hAnsi="仿宋" w:eastAsia="仿宋" w:cs="仿宋"/>
          <w:color w:val="auto"/>
          <w:sz w:val="24"/>
          <w:szCs w:val="24"/>
          <w:highlight w:val="none"/>
        </w:rPr>
        <w:t>日</w:t>
      </w:r>
      <w:r>
        <w:rPr>
          <w:rFonts w:hint="eastAsia" w:hAnsi="仿宋" w:cs="仿宋"/>
          <w:color w:val="auto"/>
          <w:sz w:val="24"/>
          <w:szCs w:val="24"/>
          <w:highlight w:val="none"/>
          <w:lang w:val="en-US" w:eastAsia="zh-CN"/>
        </w:rPr>
        <w:t>15</w:t>
      </w:r>
      <w:r>
        <w:rPr>
          <w:rFonts w:hint="eastAsia" w:ascii="仿宋" w:hAnsi="仿宋" w:eastAsia="仿宋" w:cs="仿宋"/>
          <w:color w:val="auto"/>
          <w:sz w:val="24"/>
          <w:szCs w:val="24"/>
          <w:highlight w:val="none"/>
        </w:rPr>
        <w:t>点</w:t>
      </w:r>
      <w:r>
        <w:rPr>
          <w:rFonts w:hint="eastAsia" w:hAnsi="仿宋" w:cs="仿宋"/>
          <w:color w:val="auto"/>
          <w:sz w:val="24"/>
          <w:szCs w:val="24"/>
          <w:highlight w:val="none"/>
          <w:lang w:val="en-US" w:eastAsia="zh-CN"/>
        </w:rPr>
        <w:t>00</w:t>
      </w:r>
      <w:r>
        <w:rPr>
          <w:rFonts w:hint="eastAsia" w:ascii="仿宋" w:hAnsi="仿宋" w:eastAsia="仿宋" w:cs="仿宋"/>
          <w:color w:val="auto"/>
          <w:sz w:val="24"/>
          <w:szCs w:val="24"/>
          <w:highlight w:val="none"/>
        </w:rPr>
        <w:t>分（北京时间）前递交投标文件。</w:t>
      </w:r>
    </w:p>
    <w:p w14:paraId="3B5F7E0B">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
          <w:bCs/>
          <w:color w:val="auto"/>
          <w:sz w:val="24"/>
          <w:szCs w:val="24"/>
          <w:highlight w:val="none"/>
        </w:rPr>
      </w:pPr>
      <w:bookmarkStart w:id="3" w:name="_Toc126156665"/>
      <w:bookmarkStart w:id="4" w:name="_Toc8464"/>
      <w:bookmarkStart w:id="5" w:name="_Toc126132840"/>
      <w:r>
        <w:rPr>
          <w:rFonts w:hint="eastAsia" w:ascii="仿宋" w:hAnsi="仿宋" w:eastAsia="仿宋" w:cs="仿宋"/>
          <w:b/>
          <w:bCs/>
          <w:color w:val="auto"/>
          <w:sz w:val="24"/>
          <w:szCs w:val="24"/>
          <w:highlight w:val="none"/>
        </w:rPr>
        <w:t>一、项目基本情况</w:t>
      </w:r>
      <w:bookmarkEnd w:id="3"/>
      <w:bookmarkEnd w:id="4"/>
      <w:bookmarkEnd w:id="5"/>
    </w:p>
    <w:p w14:paraId="6464B6B1">
      <w:pPr>
        <w:pageBreakBefore w:val="0"/>
        <w:kinsoku/>
        <w:wordWrap/>
        <w:overflowPunct/>
        <w:topLinePunct w:val="0"/>
        <w:autoSpaceDE/>
        <w:autoSpaceDN/>
        <w:bidi w:val="0"/>
        <w:spacing w:beforeAutospacing="0" w:line="5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lang w:val="en-US" w:eastAsia="zh-CN"/>
        </w:rPr>
        <w:t>城镇综合开发万安县润安林溪湾建设项目物料提升机租赁单位选取项目</w:t>
      </w:r>
    </w:p>
    <w:p w14:paraId="6F6694DC">
      <w:pPr>
        <w:pageBreakBefore w:val="0"/>
        <w:kinsoku/>
        <w:wordWrap/>
        <w:overflowPunct/>
        <w:topLinePunct w:val="0"/>
        <w:autoSpaceDE/>
        <w:autoSpaceDN/>
        <w:bidi w:val="0"/>
        <w:spacing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采购方式：</w:t>
      </w:r>
      <w:r>
        <w:rPr>
          <w:rFonts w:hint="eastAsia" w:ascii="仿宋" w:hAnsi="仿宋" w:eastAsia="仿宋" w:cs="仿宋"/>
          <w:color w:val="auto"/>
          <w:sz w:val="24"/>
          <w:szCs w:val="24"/>
          <w:highlight w:val="none"/>
          <w:u w:val="single"/>
        </w:rPr>
        <w:t>竞价采购(见面开标）</w:t>
      </w:r>
    </w:p>
    <w:p w14:paraId="4D1DF5BB">
      <w:pPr>
        <w:pageBreakBefore w:val="0"/>
        <w:kinsoku/>
        <w:wordWrap/>
        <w:overflowPunct/>
        <w:topLinePunct w:val="0"/>
        <w:autoSpaceDE/>
        <w:autoSpaceDN/>
        <w:bidi w:val="0"/>
        <w:spacing w:line="5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最高限价：</w:t>
      </w:r>
      <w:r>
        <w:rPr>
          <w:rFonts w:hint="eastAsia" w:hAnsi="仿宋" w:cs="仿宋"/>
          <w:color w:val="auto"/>
          <w:sz w:val="24"/>
          <w:szCs w:val="24"/>
          <w:highlight w:val="none"/>
          <w:u w:val="single"/>
          <w:lang w:val="en-US" w:eastAsia="zh-CN"/>
        </w:rPr>
        <w:t>118350</w:t>
      </w:r>
      <w:r>
        <w:rPr>
          <w:rFonts w:hint="eastAsia" w:ascii="仿宋" w:hAnsi="仿宋" w:eastAsia="仿宋" w:cs="仿宋"/>
          <w:color w:val="auto"/>
          <w:sz w:val="24"/>
          <w:szCs w:val="24"/>
          <w:highlight w:val="none"/>
          <w:u w:val="single"/>
        </w:rPr>
        <w:t>元</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含税</w:t>
      </w:r>
      <w:r>
        <w:rPr>
          <w:rFonts w:hint="eastAsia" w:ascii="仿宋" w:hAnsi="仿宋" w:eastAsia="仿宋" w:cs="仿宋"/>
          <w:color w:val="auto"/>
          <w:sz w:val="24"/>
          <w:szCs w:val="24"/>
          <w:highlight w:val="none"/>
          <w:u w:val="none"/>
          <w:lang w:eastAsia="zh-CN"/>
        </w:rPr>
        <w:t>）</w:t>
      </w:r>
    </w:p>
    <w:p w14:paraId="09B3E2D1">
      <w:pPr>
        <w:pageBreakBefore w:val="0"/>
        <w:kinsoku/>
        <w:wordWrap/>
        <w:overflowPunct/>
        <w:topLinePunct w:val="0"/>
        <w:autoSpaceDE/>
        <w:autoSpaceDN/>
        <w:bidi w:val="0"/>
        <w:spacing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采购需求：详见附件1</w:t>
      </w:r>
    </w:p>
    <w:p w14:paraId="5C608A36">
      <w:pPr>
        <w:pageBreakBefore w:val="0"/>
        <w:kinsoku/>
        <w:wordWrap/>
        <w:overflowPunct/>
        <w:topLinePunct w:val="0"/>
        <w:autoSpaceDE/>
        <w:autoSpaceDN/>
        <w:bidi w:val="0"/>
        <w:spacing w:afterAutospacing="0"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投标文件格式：详见附件2</w:t>
      </w:r>
    </w:p>
    <w:p w14:paraId="441EC8E9">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
          <w:bCs/>
          <w:color w:val="auto"/>
          <w:sz w:val="24"/>
          <w:szCs w:val="24"/>
          <w:highlight w:val="none"/>
        </w:rPr>
      </w:pPr>
      <w:bookmarkStart w:id="6" w:name="_Toc126132841"/>
      <w:bookmarkStart w:id="7" w:name="_Toc126156666"/>
      <w:bookmarkStart w:id="8" w:name="_Toc19925"/>
      <w:r>
        <w:rPr>
          <w:rFonts w:hint="eastAsia" w:ascii="仿宋" w:hAnsi="仿宋" w:eastAsia="仿宋" w:cs="仿宋"/>
          <w:b/>
          <w:bCs/>
          <w:color w:val="auto"/>
          <w:sz w:val="24"/>
          <w:szCs w:val="24"/>
          <w:highlight w:val="none"/>
        </w:rPr>
        <w:t>二、投标人资格要求</w:t>
      </w:r>
      <w:bookmarkEnd w:id="6"/>
      <w:bookmarkEnd w:id="7"/>
      <w:bookmarkEnd w:id="8"/>
    </w:p>
    <w:p w14:paraId="39D18744">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bookmarkStart w:id="9" w:name="_Toc824"/>
      <w:bookmarkStart w:id="10" w:name="_Toc126132842"/>
      <w:bookmarkStart w:id="11" w:name="_Toc126156667"/>
      <w:r>
        <w:rPr>
          <w:rFonts w:hint="eastAsia" w:ascii="仿宋" w:hAnsi="仿宋" w:eastAsia="仿宋" w:cs="仿宋"/>
          <w:b/>
          <w:bCs/>
          <w:color w:val="auto"/>
          <w:kern w:val="0"/>
          <w:sz w:val="24"/>
          <w:szCs w:val="24"/>
          <w:highlight w:val="none"/>
        </w:rPr>
        <w:t>1、满足《中华人民共和国政府采购法》第二十二条规定：</w:t>
      </w:r>
    </w:p>
    <w:p w14:paraId="10CCC1F4">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u w:val="single"/>
          <w:lang w:val="en-US" w:eastAsia="zh-CN"/>
        </w:rPr>
        <w:t>投标人必须为中华人民共和国境内注册的独立法人单位，并具有有效的企业法人营业执照、资质证书（起重设备安装工程专业承包贰级）、有效的安全生产许可证（提供证书</w:t>
      </w:r>
      <w:r>
        <w:rPr>
          <w:rFonts w:hint="eastAsia" w:ascii="仿宋" w:hAnsi="仿宋" w:eastAsia="仿宋" w:cs="仿宋"/>
          <w:color w:val="auto"/>
          <w:kern w:val="0"/>
          <w:sz w:val="24"/>
          <w:szCs w:val="24"/>
          <w:highlight w:val="none"/>
          <w:u w:val="single"/>
          <w:lang w:eastAsia="zh-CN"/>
        </w:rPr>
        <w:t>原件或</w:t>
      </w:r>
      <w:r>
        <w:rPr>
          <w:rFonts w:hint="eastAsia" w:ascii="仿宋" w:hAnsi="仿宋" w:eastAsia="仿宋" w:cs="仿宋"/>
          <w:color w:val="auto"/>
          <w:kern w:val="0"/>
          <w:sz w:val="24"/>
          <w:szCs w:val="24"/>
          <w:highlight w:val="none"/>
          <w:u w:val="single"/>
          <w:lang w:val="en-US" w:eastAsia="zh-CN"/>
        </w:rPr>
        <w:t>复印件加盖投标单位公章）；</w:t>
      </w:r>
    </w:p>
    <w:p w14:paraId="2A6D0192">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color w:val="auto"/>
          <w:kern w:val="0"/>
          <w:sz w:val="24"/>
          <w:szCs w:val="24"/>
          <w:highlight w:val="none"/>
          <w:u w:val="single"/>
        </w:rPr>
      </w:pPr>
      <w:r>
        <w:rPr>
          <w:rFonts w:hint="eastAsia" w:hAnsi="仿宋" w:cs="仿宋"/>
          <w:color w:val="auto"/>
          <w:kern w:val="0"/>
          <w:sz w:val="24"/>
          <w:szCs w:val="24"/>
          <w:highlight w:val="none"/>
          <w:u w:val="single"/>
          <w:lang w:val="en-US" w:eastAsia="zh-CN"/>
        </w:rPr>
        <w:t>1.2</w:t>
      </w:r>
      <w:r>
        <w:rPr>
          <w:rFonts w:hint="eastAsia" w:ascii="仿宋" w:hAnsi="仿宋" w:eastAsia="仿宋" w:cs="仿宋"/>
          <w:color w:val="auto"/>
          <w:kern w:val="0"/>
          <w:sz w:val="24"/>
          <w:szCs w:val="24"/>
          <w:highlight w:val="none"/>
          <w:u w:val="single"/>
          <w:lang w:val="en-US" w:eastAsia="zh-CN"/>
        </w:rPr>
        <w:t>投标人提供的设备需具有出场合格证书且设备为近五年内制造出厂的（提供出场合格证书</w:t>
      </w:r>
      <w:r>
        <w:rPr>
          <w:rFonts w:hint="eastAsia" w:ascii="仿宋" w:hAnsi="仿宋" w:eastAsia="仿宋" w:cs="仿宋"/>
          <w:color w:val="auto"/>
          <w:kern w:val="0"/>
          <w:sz w:val="24"/>
          <w:szCs w:val="24"/>
          <w:highlight w:val="none"/>
          <w:u w:val="single"/>
          <w:lang w:eastAsia="zh-CN"/>
        </w:rPr>
        <w:t>原件或</w:t>
      </w:r>
      <w:r>
        <w:rPr>
          <w:rFonts w:hint="eastAsia" w:ascii="仿宋" w:hAnsi="仿宋" w:eastAsia="仿宋" w:cs="仿宋"/>
          <w:color w:val="auto"/>
          <w:kern w:val="0"/>
          <w:sz w:val="24"/>
          <w:szCs w:val="24"/>
          <w:highlight w:val="none"/>
          <w:u w:val="single"/>
          <w:lang w:val="en-US" w:eastAsia="zh-CN"/>
        </w:rPr>
        <w:t>复印件加盖投标单位公章）</w:t>
      </w:r>
      <w:r>
        <w:rPr>
          <w:rFonts w:hint="eastAsia" w:hAnsi="仿宋" w:cs="仿宋"/>
          <w:color w:val="auto"/>
          <w:kern w:val="0"/>
          <w:sz w:val="24"/>
          <w:szCs w:val="24"/>
          <w:highlight w:val="none"/>
          <w:u w:val="single"/>
          <w:lang w:val="en-US" w:eastAsia="zh-CN"/>
        </w:rPr>
        <w:t>；</w:t>
      </w:r>
    </w:p>
    <w:p w14:paraId="1E1EF3DA">
      <w:pPr>
        <w:pageBreakBefore w:val="0"/>
        <w:kinsoku/>
        <w:wordWrap/>
        <w:overflowPunct/>
        <w:topLinePunct w:val="0"/>
        <w:autoSpaceDE/>
        <w:autoSpaceDN/>
        <w:bidi w:val="0"/>
        <w:spacing w:beforeAutospacing="0" w:line="540" w:lineRule="exact"/>
        <w:jc w:val="left"/>
        <w:textAlignment w:val="auto"/>
        <w:rPr>
          <w:rFonts w:hint="eastAsia" w:hAnsi="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lang w:val="en-US" w:eastAsia="zh-CN"/>
        </w:rPr>
        <w:t>1.</w:t>
      </w:r>
      <w:r>
        <w:rPr>
          <w:rFonts w:hint="eastAsia" w:hAnsi="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color w:val="auto"/>
          <w:kern w:val="0"/>
          <w:sz w:val="24"/>
          <w:szCs w:val="24"/>
          <w:highlight w:val="none"/>
          <w:u w:val="single"/>
          <w:lang w:val="en-US" w:eastAsia="zh-CN"/>
        </w:rPr>
        <w:t>。</w:t>
      </w:r>
    </w:p>
    <w:p w14:paraId="682BF4B1">
      <w:pPr>
        <w:pStyle w:val="6"/>
        <w:spacing w:after="0" w:afterAutospacing="0"/>
        <w:rPr>
          <w:rFonts w:hint="eastAsia"/>
          <w:lang w:val="en-US" w:eastAsia="zh-CN"/>
        </w:rPr>
      </w:pPr>
      <w:r>
        <w:rPr>
          <w:rFonts w:hint="eastAsia" w:ascii="仿宋" w:hAnsi="仿宋" w:eastAsia="仿宋" w:cs="仿宋"/>
          <w:color w:val="auto"/>
          <w:kern w:val="0"/>
          <w:sz w:val="24"/>
          <w:szCs w:val="24"/>
          <w:highlight w:val="none"/>
          <w:lang w:val="en-US" w:eastAsia="zh-CN"/>
        </w:rPr>
        <w:t>1.</w:t>
      </w:r>
      <w:r>
        <w:rPr>
          <w:rFonts w:hint="eastAsia" w:ascii="仿宋" w:hAnsi="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u w:val="single"/>
          <w:lang w:val="en-US" w:eastAsia="zh-CN"/>
        </w:rPr>
        <w:t>投标人须提供法人身</w:t>
      </w:r>
      <w:r>
        <w:rPr>
          <w:rFonts w:hint="eastAsia" w:hAnsi="仿宋" w:cs="仿宋"/>
          <w:color w:val="auto"/>
          <w:kern w:val="0"/>
          <w:sz w:val="24"/>
          <w:szCs w:val="24"/>
          <w:highlight w:val="none"/>
          <w:u w:val="single"/>
          <w:lang w:val="en-US" w:eastAsia="zh-CN"/>
        </w:rPr>
        <w:t>份证</w:t>
      </w:r>
      <w:r>
        <w:rPr>
          <w:rFonts w:hint="eastAsia" w:ascii="仿宋" w:hAnsi="仿宋" w:eastAsia="仿宋" w:cs="仿宋"/>
          <w:color w:val="auto"/>
          <w:kern w:val="0"/>
          <w:sz w:val="24"/>
          <w:szCs w:val="24"/>
          <w:highlight w:val="none"/>
          <w:u w:val="single"/>
          <w:lang w:val="en-US" w:eastAsia="zh-CN"/>
        </w:rPr>
        <w:t>复印件或法人代表授权委托书及被授权人身份证复印件（加盖公章）</w:t>
      </w:r>
    </w:p>
    <w:p w14:paraId="13B309EE">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u w:val="single"/>
        </w:rPr>
        <w:t>法律、行政法规规定的其他条件。</w:t>
      </w:r>
    </w:p>
    <w:bookmarkEnd w:id="9"/>
    <w:bookmarkEnd w:id="10"/>
    <w:bookmarkEnd w:id="11"/>
    <w:p w14:paraId="15A5CD1D">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
          <w:bCs/>
          <w:color w:val="auto"/>
          <w:sz w:val="24"/>
          <w:szCs w:val="24"/>
          <w:highlight w:val="none"/>
        </w:rPr>
      </w:pPr>
      <w:bookmarkStart w:id="12" w:name="_Toc5934"/>
      <w:bookmarkStart w:id="13" w:name="_Toc126132843"/>
      <w:bookmarkStart w:id="14" w:name="_Toc126156668"/>
      <w:r>
        <w:rPr>
          <w:rFonts w:hint="eastAsia" w:hAnsi="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、投标文件递交、开标时间及地点</w:t>
      </w:r>
      <w:bookmarkEnd w:id="12"/>
      <w:bookmarkEnd w:id="13"/>
      <w:bookmarkEnd w:id="14"/>
    </w:p>
    <w:p w14:paraId="5474210E">
      <w:pPr>
        <w:pageBreakBefore w:val="0"/>
        <w:kinsoku/>
        <w:wordWrap/>
        <w:overflowPunct/>
        <w:topLinePunct w:val="0"/>
        <w:autoSpaceDE/>
        <w:autoSpaceDN/>
        <w:bidi w:val="0"/>
        <w:adjustRightInd w:val="0"/>
        <w:snapToGrid w:val="0"/>
        <w:spacing w:beforeAutospacing="0"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递交签到时间：</w:t>
      </w:r>
      <w:r>
        <w:rPr>
          <w:rFonts w:hint="eastAsia" w:ascii="仿宋" w:hAnsi="仿宋" w:eastAsia="仿宋" w:cs="仿宋"/>
          <w:color w:val="auto"/>
          <w:sz w:val="24"/>
          <w:szCs w:val="24"/>
          <w:highlight w:val="none"/>
          <w:u w:val="single"/>
        </w:rPr>
        <w:t>202</w:t>
      </w:r>
      <w:r>
        <w:rPr>
          <w:rFonts w:hint="eastAsia" w:hAnsi="仿宋" w:cs="仿宋"/>
          <w:color w:val="auto"/>
          <w:sz w:val="24"/>
          <w:szCs w:val="24"/>
          <w:highlight w:val="none"/>
          <w:u w:val="single"/>
          <w:lang w:val="en-US" w:eastAsia="zh-CN"/>
        </w:rPr>
        <w:t>6</w:t>
      </w:r>
      <w:r>
        <w:rPr>
          <w:rFonts w:hint="eastAsia" w:ascii="仿宋" w:hAnsi="仿宋" w:eastAsia="仿宋" w:cs="仿宋"/>
          <w:color w:val="auto"/>
          <w:sz w:val="24"/>
          <w:szCs w:val="24"/>
          <w:highlight w:val="none"/>
          <w:u w:val="single"/>
        </w:rPr>
        <w:t>年</w:t>
      </w:r>
      <w:r>
        <w:rPr>
          <w:rFonts w:hint="eastAsia" w:hAnsi="仿宋" w:cs="仿宋"/>
          <w:color w:val="auto"/>
          <w:sz w:val="24"/>
          <w:szCs w:val="24"/>
          <w:highlight w:val="none"/>
          <w:u w:val="single"/>
          <w:lang w:val="en-US" w:eastAsia="zh-CN"/>
        </w:rPr>
        <w:t>6</w:t>
      </w:r>
      <w:r>
        <w:rPr>
          <w:rFonts w:hint="eastAsia" w:ascii="仿宋" w:hAnsi="仿宋" w:eastAsia="仿宋" w:cs="仿宋"/>
          <w:color w:val="auto"/>
          <w:sz w:val="24"/>
          <w:szCs w:val="24"/>
          <w:highlight w:val="none"/>
          <w:u w:val="single"/>
          <w:lang w:eastAsia="zh-CN"/>
        </w:rPr>
        <w:t>月</w:t>
      </w:r>
      <w:r>
        <w:rPr>
          <w:rFonts w:hint="eastAsia" w:hAnsi="仿宋" w:cs="仿宋"/>
          <w:color w:val="auto"/>
          <w:sz w:val="24"/>
          <w:szCs w:val="24"/>
          <w:highlight w:val="none"/>
          <w:u w:val="single"/>
          <w:lang w:val="en-US" w:eastAsia="zh-CN"/>
        </w:rPr>
        <w:t>22</w:t>
      </w:r>
      <w:r>
        <w:rPr>
          <w:rFonts w:hint="eastAsia" w:ascii="仿宋" w:hAnsi="仿宋" w:eastAsia="仿宋" w:cs="仿宋"/>
          <w:color w:val="auto"/>
          <w:sz w:val="24"/>
          <w:szCs w:val="24"/>
          <w:highlight w:val="none"/>
          <w:u w:val="single"/>
          <w:lang w:eastAsia="zh-CN"/>
        </w:rPr>
        <w:t>日</w:t>
      </w:r>
      <w:r>
        <w:rPr>
          <w:rFonts w:hint="eastAsia" w:hAnsi="仿宋" w:cs="仿宋"/>
          <w:color w:val="auto"/>
          <w:sz w:val="24"/>
          <w:szCs w:val="24"/>
          <w:highlight w:val="none"/>
          <w:u w:val="single"/>
          <w:lang w:val="en-US" w:eastAsia="zh-CN"/>
        </w:rPr>
        <w:t>15</w:t>
      </w:r>
      <w:r>
        <w:rPr>
          <w:rFonts w:hint="eastAsia" w:ascii="仿宋" w:hAnsi="仿宋" w:eastAsia="仿宋" w:cs="仿宋"/>
          <w:color w:val="auto"/>
          <w:sz w:val="24"/>
          <w:szCs w:val="24"/>
          <w:highlight w:val="none"/>
          <w:u w:val="single"/>
        </w:rPr>
        <w:t>时</w:t>
      </w:r>
      <w:r>
        <w:rPr>
          <w:rFonts w:hint="eastAsia" w:hAnsi="仿宋" w:cs="仿宋"/>
          <w:color w:val="auto"/>
          <w:sz w:val="24"/>
          <w:szCs w:val="24"/>
          <w:highlight w:val="none"/>
          <w:u w:val="single"/>
          <w:lang w:val="en-US" w:eastAsia="zh-CN"/>
        </w:rPr>
        <w:t>00分</w:t>
      </w:r>
      <w:r>
        <w:rPr>
          <w:rFonts w:hint="eastAsia" w:ascii="仿宋" w:hAnsi="仿宋" w:eastAsia="仿宋" w:cs="仿宋"/>
          <w:color w:val="auto"/>
          <w:sz w:val="24"/>
          <w:szCs w:val="24"/>
          <w:highlight w:val="none"/>
          <w:u w:val="single"/>
          <w:lang w:val="en-US" w:eastAsia="zh-CN"/>
        </w:rPr>
        <w:t>前</w:t>
      </w:r>
      <w:r>
        <w:rPr>
          <w:rFonts w:hint="eastAsia" w:ascii="仿宋" w:hAnsi="仿宋" w:eastAsia="仿宋" w:cs="仿宋"/>
          <w:color w:val="auto"/>
          <w:sz w:val="24"/>
          <w:szCs w:val="24"/>
          <w:highlight w:val="none"/>
          <w:u w:val="single"/>
        </w:rPr>
        <w:t>（密封报价文件递交）</w:t>
      </w:r>
    </w:p>
    <w:p w14:paraId="60AB057D">
      <w:pPr>
        <w:pageBreakBefore w:val="0"/>
        <w:kinsoku/>
        <w:wordWrap/>
        <w:overflowPunct/>
        <w:topLinePunct w:val="0"/>
        <w:autoSpaceDE/>
        <w:autoSpaceDN/>
        <w:bidi w:val="0"/>
        <w:adjustRightInd w:val="0"/>
        <w:snapToGrid w:val="0"/>
        <w:spacing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万安</w:t>
      </w:r>
      <w:r>
        <w:rPr>
          <w:rFonts w:hint="eastAsia" w:ascii="仿宋" w:hAnsi="仿宋" w:eastAsia="仿宋" w:cs="仿宋"/>
          <w:color w:val="auto"/>
          <w:sz w:val="24"/>
          <w:szCs w:val="24"/>
          <w:highlight w:val="none"/>
          <w:u w:val="single"/>
          <w:lang w:val="en-US" w:eastAsia="zh-CN"/>
        </w:rPr>
        <w:t>县跃邦建筑工程有限公司</w:t>
      </w:r>
      <w:r>
        <w:rPr>
          <w:rFonts w:hint="eastAsia" w:ascii="仿宋" w:hAnsi="仿宋" w:eastAsia="仿宋" w:cs="仿宋"/>
          <w:color w:val="auto"/>
          <w:sz w:val="24"/>
          <w:szCs w:val="24"/>
          <w:highlight w:val="none"/>
          <w:u w:val="single"/>
        </w:rPr>
        <w:t>（万安县</w:t>
      </w:r>
      <w:r>
        <w:rPr>
          <w:rFonts w:hint="eastAsia" w:ascii="仿宋" w:hAnsi="仿宋" w:eastAsia="仿宋" w:cs="仿宋"/>
          <w:color w:val="auto"/>
          <w:sz w:val="24"/>
          <w:szCs w:val="24"/>
          <w:highlight w:val="none"/>
          <w:u w:val="single"/>
          <w:lang w:val="en-US" w:eastAsia="zh-CN"/>
        </w:rPr>
        <w:t>人社局院内</w:t>
      </w:r>
      <w:r>
        <w:rPr>
          <w:rFonts w:hint="eastAsia" w:ascii="仿宋" w:hAnsi="仿宋" w:eastAsia="仿宋" w:cs="仿宋"/>
          <w:color w:val="auto"/>
          <w:sz w:val="24"/>
          <w:szCs w:val="24"/>
          <w:highlight w:val="none"/>
          <w:u w:val="single"/>
        </w:rPr>
        <w:t>）</w:t>
      </w:r>
    </w:p>
    <w:p w14:paraId="656F34C0">
      <w:pPr>
        <w:pageBreakBefore w:val="0"/>
        <w:kinsoku/>
        <w:wordWrap/>
        <w:overflowPunct/>
        <w:topLinePunct w:val="0"/>
        <w:autoSpaceDE/>
        <w:autoSpaceDN/>
        <w:bidi w:val="0"/>
        <w:spacing w:line="540" w:lineRule="exact"/>
        <w:textAlignment w:val="auto"/>
        <w:rPr>
          <w:rFonts w:hint="default" w:hAnsi="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开标时间：</w:t>
      </w:r>
      <w:r>
        <w:rPr>
          <w:rFonts w:hint="eastAsia" w:ascii="仿宋" w:hAnsi="仿宋" w:eastAsia="仿宋" w:cs="仿宋"/>
          <w:color w:val="auto"/>
          <w:sz w:val="24"/>
          <w:szCs w:val="24"/>
          <w:highlight w:val="none"/>
          <w:u w:val="single"/>
        </w:rPr>
        <w:t>202</w:t>
      </w:r>
      <w:r>
        <w:rPr>
          <w:rFonts w:hint="eastAsia" w:hAnsi="仿宋" w:cs="仿宋"/>
          <w:color w:val="auto"/>
          <w:sz w:val="24"/>
          <w:szCs w:val="24"/>
          <w:highlight w:val="none"/>
          <w:u w:val="single"/>
          <w:lang w:val="en-US" w:eastAsia="zh-CN"/>
        </w:rPr>
        <w:t>6</w:t>
      </w:r>
      <w:r>
        <w:rPr>
          <w:rFonts w:hint="eastAsia" w:ascii="仿宋" w:hAnsi="仿宋" w:eastAsia="仿宋" w:cs="仿宋"/>
          <w:color w:val="auto"/>
          <w:sz w:val="24"/>
          <w:szCs w:val="24"/>
          <w:highlight w:val="none"/>
          <w:u w:val="single"/>
        </w:rPr>
        <w:t>年</w:t>
      </w:r>
      <w:r>
        <w:rPr>
          <w:rFonts w:hint="eastAsia" w:hAnsi="仿宋" w:cs="仿宋"/>
          <w:color w:val="auto"/>
          <w:sz w:val="24"/>
          <w:szCs w:val="24"/>
          <w:highlight w:val="none"/>
          <w:u w:val="single"/>
          <w:lang w:val="en-US" w:eastAsia="zh-CN"/>
        </w:rPr>
        <w:t>6</w:t>
      </w:r>
      <w:r>
        <w:rPr>
          <w:rFonts w:hint="eastAsia" w:ascii="仿宋" w:hAnsi="仿宋" w:eastAsia="仿宋" w:cs="仿宋"/>
          <w:color w:val="auto"/>
          <w:sz w:val="24"/>
          <w:szCs w:val="24"/>
          <w:highlight w:val="none"/>
          <w:u w:val="single"/>
          <w:lang w:eastAsia="zh-CN"/>
        </w:rPr>
        <w:t>月</w:t>
      </w:r>
      <w:r>
        <w:rPr>
          <w:rFonts w:hint="eastAsia" w:hAnsi="仿宋" w:cs="仿宋"/>
          <w:color w:val="auto"/>
          <w:sz w:val="24"/>
          <w:szCs w:val="24"/>
          <w:highlight w:val="none"/>
          <w:u w:val="single"/>
          <w:lang w:val="en-US" w:eastAsia="zh-CN"/>
        </w:rPr>
        <w:t>22</w:t>
      </w:r>
      <w:r>
        <w:rPr>
          <w:rFonts w:hint="eastAsia" w:ascii="仿宋" w:hAnsi="仿宋" w:eastAsia="仿宋" w:cs="仿宋"/>
          <w:color w:val="auto"/>
          <w:sz w:val="24"/>
          <w:szCs w:val="24"/>
          <w:highlight w:val="none"/>
          <w:u w:val="none"/>
          <w:lang w:eastAsia="zh-CN"/>
        </w:rPr>
        <w:t>日</w:t>
      </w:r>
      <w:r>
        <w:rPr>
          <w:rFonts w:hint="eastAsia" w:hAnsi="仿宋" w:cs="仿宋"/>
          <w:color w:val="auto"/>
          <w:sz w:val="24"/>
          <w:szCs w:val="24"/>
          <w:highlight w:val="none"/>
          <w:u w:val="none"/>
          <w:lang w:val="en-US" w:eastAsia="zh-CN"/>
        </w:rPr>
        <w:t>15</w:t>
      </w:r>
      <w:r>
        <w:rPr>
          <w:rFonts w:hint="eastAsia" w:ascii="仿宋" w:hAnsi="仿宋" w:eastAsia="仿宋" w:cs="仿宋"/>
          <w:color w:val="auto"/>
          <w:sz w:val="24"/>
          <w:szCs w:val="24"/>
          <w:highlight w:val="none"/>
          <w:u w:val="none"/>
        </w:rPr>
        <w:t>时</w:t>
      </w:r>
      <w:r>
        <w:rPr>
          <w:rFonts w:hint="eastAsia" w:hAnsi="仿宋" w:cs="仿宋"/>
          <w:color w:val="auto"/>
          <w:sz w:val="24"/>
          <w:szCs w:val="24"/>
          <w:highlight w:val="none"/>
          <w:u w:val="none"/>
          <w:lang w:val="en-US" w:eastAsia="zh-CN"/>
        </w:rPr>
        <w:t>00分</w:t>
      </w:r>
    </w:p>
    <w:p w14:paraId="5EE7DCE1">
      <w:pPr>
        <w:pageBreakBefore w:val="0"/>
        <w:kinsoku/>
        <w:wordWrap/>
        <w:overflowPunct/>
        <w:topLinePunct w:val="0"/>
        <w:autoSpaceDE/>
        <w:autoSpaceDN/>
        <w:bidi w:val="0"/>
        <w:spacing w:line="5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开标地址：</w:t>
      </w:r>
      <w:r>
        <w:rPr>
          <w:rFonts w:hint="eastAsia" w:ascii="仿宋" w:hAnsi="仿宋" w:eastAsia="仿宋" w:cs="仿宋"/>
          <w:color w:val="auto"/>
          <w:sz w:val="24"/>
          <w:szCs w:val="24"/>
          <w:highlight w:val="none"/>
          <w:u w:val="single"/>
        </w:rPr>
        <w:t>万安县</w:t>
      </w:r>
      <w:r>
        <w:rPr>
          <w:rFonts w:hint="eastAsia" w:ascii="仿宋" w:hAnsi="仿宋" w:eastAsia="仿宋" w:cs="仿宋"/>
          <w:color w:val="auto"/>
          <w:sz w:val="24"/>
          <w:szCs w:val="24"/>
          <w:highlight w:val="none"/>
          <w:u w:val="single"/>
          <w:lang w:val="en-US" w:eastAsia="zh-CN"/>
        </w:rPr>
        <w:t>人社局院内</w:t>
      </w:r>
    </w:p>
    <w:p w14:paraId="62C85B66">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
          <w:bCs/>
          <w:color w:val="auto"/>
          <w:sz w:val="24"/>
          <w:szCs w:val="24"/>
          <w:highlight w:val="none"/>
        </w:rPr>
      </w:pPr>
      <w:bookmarkStart w:id="15" w:name="_Toc18781"/>
      <w:bookmarkStart w:id="16" w:name="_Toc126132844"/>
      <w:bookmarkStart w:id="17" w:name="_Toc126156669"/>
      <w:r>
        <w:rPr>
          <w:rFonts w:hint="eastAsia" w:hAnsi="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竞价须知</w:t>
      </w:r>
    </w:p>
    <w:p w14:paraId="7BFE8C3B">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1、竞价保证金金额：人民币</w:t>
      </w:r>
      <w:r>
        <w:rPr>
          <w:rFonts w:hint="eastAsia" w:hAnsi="仿宋" w:cs="仿宋"/>
          <w:b/>
          <w:bCs w:val="0"/>
          <w:color w:val="auto"/>
          <w:sz w:val="24"/>
          <w:szCs w:val="24"/>
          <w:highlight w:val="none"/>
          <w:lang w:val="en-US" w:eastAsia="zh-CN"/>
        </w:rPr>
        <w:t>1100</w:t>
      </w:r>
      <w:r>
        <w:rPr>
          <w:rFonts w:hint="eastAsia" w:ascii="仿宋" w:hAnsi="仿宋" w:eastAsia="仿宋" w:cs="仿宋"/>
          <w:b/>
          <w:bCs w:val="0"/>
          <w:color w:val="auto"/>
          <w:sz w:val="24"/>
          <w:szCs w:val="24"/>
          <w:highlight w:val="none"/>
        </w:rPr>
        <w:t>元；</w:t>
      </w:r>
    </w:p>
    <w:p w14:paraId="7540848E">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2、本项目保证金应当采用网上银行支付</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提交竞价保证金的截止时间</w:t>
      </w:r>
      <w:r>
        <w:rPr>
          <w:rFonts w:hint="eastAsia" w:ascii="仿宋" w:hAnsi="仿宋" w:eastAsia="仿宋" w:cs="仿宋"/>
          <w:bCs/>
          <w:color w:val="auto"/>
          <w:sz w:val="24"/>
          <w:szCs w:val="24"/>
          <w:highlight w:val="none"/>
          <w:lang w:val="en-US" w:eastAsia="zh-CN"/>
        </w:rPr>
        <w:t>于</w:t>
      </w:r>
      <w:r>
        <w:rPr>
          <w:rFonts w:hint="eastAsia" w:ascii="仿宋" w:hAnsi="仿宋" w:eastAsia="仿宋" w:cs="仿宋"/>
          <w:bCs/>
          <w:color w:val="auto"/>
          <w:sz w:val="24"/>
          <w:szCs w:val="24"/>
          <w:highlight w:val="none"/>
        </w:rPr>
        <w:t>202</w:t>
      </w:r>
      <w:r>
        <w:rPr>
          <w:rFonts w:hint="eastAsia" w:hAnsi="仿宋" w:cs="仿宋"/>
          <w:bCs/>
          <w:color w:val="auto"/>
          <w:sz w:val="24"/>
          <w:szCs w:val="24"/>
          <w:highlight w:val="none"/>
          <w:lang w:val="en-US" w:eastAsia="zh-CN"/>
        </w:rPr>
        <w:t>6</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lang w:val="en-US" w:eastAsia="zh-CN"/>
        </w:rPr>
        <w:t xml:space="preserve"> </w:t>
      </w:r>
      <w:r>
        <w:rPr>
          <w:rFonts w:hint="eastAsia" w:hAnsi="仿宋" w:cs="仿宋"/>
          <w:bCs/>
          <w:color w:val="auto"/>
          <w:sz w:val="24"/>
          <w:szCs w:val="24"/>
          <w:highlight w:val="none"/>
          <w:lang w:val="en-US" w:eastAsia="zh-CN"/>
        </w:rPr>
        <w:t>6</w:t>
      </w:r>
      <w:r>
        <w:rPr>
          <w:rFonts w:hint="eastAsia" w:ascii="仿宋" w:hAnsi="仿宋" w:eastAsia="仿宋" w:cs="仿宋"/>
          <w:bCs/>
          <w:color w:val="auto"/>
          <w:sz w:val="24"/>
          <w:szCs w:val="24"/>
          <w:highlight w:val="none"/>
          <w:lang w:eastAsia="zh-CN"/>
        </w:rPr>
        <w:t>月</w:t>
      </w:r>
      <w:r>
        <w:rPr>
          <w:rFonts w:hint="eastAsia" w:hAnsi="仿宋" w:cs="仿宋"/>
          <w:bCs/>
          <w:color w:val="auto"/>
          <w:sz w:val="24"/>
          <w:szCs w:val="24"/>
          <w:highlight w:val="none"/>
          <w:lang w:val="en-US" w:eastAsia="zh-CN"/>
        </w:rPr>
        <w:t>22</w:t>
      </w:r>
      <w:r>
        <w:rPr>
          <w:rFonts w:hint="eastAsia" w:ascii="仿宋" w:hAnsi="仿宋" w:eastAsia="仿宋" w:cs="仿宋"/>
          <w:bCs/>
          <w:color w:val="auto"/>
          <w:sz w:val="24"/>
          <w:szCs w:val="24"/>
          <w:highlight w:val="none"/>
          <w:lang w:eastAsia="zh-CN"/>
        </w:rPr>
        <w:t>日</w:t>
      </w:r>
      <w:r>
        <w:rPr>
          <w:rFonts w:hint="eastAsia" w:hAnsi="仿宋" w:cs="仿宋"/>
          <w:bCs/>
          <w:color w:val="auto"/>
          <w:sz w:val="24"/>
          <w:szCs w:val="24"/>
          <w:highlight w:val="none"/>
          <w:lang w:val="en-US" w:eastAsia="zh-CN"/>
        </w:rPr>
        <w:t>15</w:t>
      </w:r>
      <w:bookmarkStart w:id="65" w:name="_GoBack"/>
      <w:bookmarkEnd w:id="65"/>
      <w:r>
        <w:rPr>
          <w:rFonts w:hint="eastAsia" w:ascii="仿宋" w:hAnsi="仿宋" w:eastAsia="仿宋" w:cs="仿宋"/>
          <w:bCs/>
          <w:color w:val="auto"/>
          <w:sz w:val="24"/>
          <w:szCs w:val="24"/>
          <w:highlight w:val="none"/>
        </w:rPr>
        <w:t>时</w:t>
      </w:r>
      <w:r>
        <w:rPr>
          <w:rFonts w:hint="eastAsia" w:hAnsi="仿宋" w:cs="仿宋"/>
          <w:bCs/>
          <w:color w:val="auto"/>
          <w:sz w:val="24"/>
          <w:szCs w:val="24"/>
          <w:highlight w:val="none"/>
          <w:lang w:val="en-US" w:eastAsia="zh-CN"/>
        </w:rPr>
        <w:t>0</w:t>
      </w:r>
      <w:r>
        <w:rPr>
          <w:rFonts w:hint="eastAsia" w:ascii="仿宋" w:hAnsi="仿宋" w:eastAsia="仿宋" w:cs="仿宋"/>
          <w:bCs/>
          <w:color w:val="auto"/>
          <w:sz w:val="24"/>
          <w:szCs w:val="24"/>
          <w:highlight w:val="none"/>
        </w:rPr>
        <w:t>0分。</w:t>
      </w:r>
    </w:p>
    <w:p w14:paraId="172E4BE3">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3、竞价保证金银行账户信息：</w:t>
      </w:r>
    </w:p>
    <w:p w14:paraId="75987B88">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开户银行：</w:t>
      </w:r>
      <w:r>
        <w:rPr>
          <w:rFonts w:hint="eastAsia" w:ascii="仿宋" w:hAnsi="仿宋" w:eastAsia="仿宋" w:cs="仿宋"/>
          <w:bCs/>
          <w:color w:val="auto"/>
          <w:sz w:val="24"/>
          <w:szCs w:val="24"/>
          <w:highlight w:val="none"/>
          <w:u w:val="single"/>
        </w:rPr>
        <w:t>中国农业银行股份有限公司万安县支行</w:t>
      </w:r>
    </w:p>
    <w:p w14:paraId="462F5045">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开户名称：</w:t>
      </w:r>
      <w:r>
        <w:rPr>
          <w:rFonts w:hint="eastAsia" w:ascii="仿宋" w:hAnsi="仿宋" w:eastAsia="仿宋" w:cs="仿宋"/>
          <w:bCs/>
          <w:color w:val="auto"/>
          <w:sz w:val="24"/>
          <w:szCs w:val="24"/>
          <w:highlight w:val="none"/>
          <w:u w:val="single"/>
          <w:lang w:val="en-US" w:eastAsia="zh-CN"/>
        </w:rPr>
        <w:t>万安县跃邦建筑工程有限公司</w:t>
      </w:r>
    </w:p>
    <w:p w14:paraId="7C8BE618">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开户账户：</w:t>
      </w:r>
      <w:r>
        <w:rPr>
          <w:rFonts w:hint="eastAsia" w:ascii="仿宋" w:hAnsi="仿宋" w:eastAsia="仿宋" w:cs="仿宋"/>
          <w:bCs/>
          <w:color w:val="auto"/>
          <w:sz w:val="24"/>
          <w:szCs w:val="24"/>
          <w:highlight w:val="none"/>
          <w:u w:val="single"/>
        </w:rPr>
        <w:t>1407</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0101</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0400</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1410</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3</w:t>
      </w:r>
    </w:p>
    <w:p w14:paraId="20C81ACC">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4、竞价保证金的交付时间以收款人银行实际到账为准。由于</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原因而造成保证金没有及时或足额到账的相关责任，由</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自行负责。</w:t>
      </w:r>
    </w:p>
    <w:p w14:paraId="5DC8B1B5">
      <w:pPr>
        <w:keepNext w:val="0"/>
        <w:keepLines w:val="0"/>
        <w:pageBreakBefore w:val="0"/>
        <w:widowControl w:val="0"/>
        <w:kinsoku/>
        <w:wordWrap/>
        <w:overflowPunct/>
        <w:topLinePunct w:val="0"/>
        <w:autoSpaceDE/>
        <w:autoSpaceDN/>
        <w:bidi w:val="0"/>
        <w:spacing w:beforeAutospacing="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5、已递交了竞价保证金的</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，如不能参加此次竞价的，请在谈判截止时间一天前以书面形式通知</w:t>
      </w:r>
      <w:r>
        <w:rPr>
          <w:rFonts w:hint="eastAsia" w:hAnsi="仿宋" w:cs="仿宋"/>
          <w:bCs/>
          <w:color w:val="auto"/>
          <w:sz w:val="24"/>
          <w:szCs w:val="24"/>
          <w:highlight w:val="none"/>
          <w:lang w:val="en-US" w:eastAsia="zh-CN"/>
        </w:rPr>
        <w:t>我司</w:t>
      </w:r>
      <w:r>
        <w:rPr>
          <w:rFonts w:hint="eastAsia" w:ascii="仿宋" w:hAnsi="仿宋" w:eastAsia="仿宋" w:cs="仿宋"/>
          <w:bCs/>
          <w:color w:val="auto"/>
          <w:sz w:val="24"/>
          <w:szCs w:val="24"/>
          <w:highlight w:val="none"/>
        </w:rPr>
        <w:t>放弃参与竞价；否则，不得再参加该项目的采购活动。</w:t>
      </w:r>
    </w:p>
    <w:p w14:paraId="4EFB5331">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6、开标当天，</w:t>
      </w:r>
      <w:r>
        <w:rPr>
          <w:rFonts w:hint="eastAsia" w:hAnsi="仿宋" w:cs="仿宋"/>
          <w:bCs/>
          <w:color w:val="auto"/>
          <w:sz w:val="24"/>
          <w:szCs w:val="24"/>
          <w:highlight w:val="none"/>
          <w:lang w:eastAsia="zh-CN"/>
        </w:rPr>
        <w:t>投标</w:t>
      </w:r>
      <w:r>
        <w:rPr>
          <w:rFonts w:hint="eastAsia" w:ascii="仿宋" w:hAnsi="仿宋" w:eastAsia="仿宋" w:cs="仿宋"/>
          <w:bCs/>
          <w:color w:val="auto"/>
          <w:sz w:val="24"/>
          <w:szCs w:val="24"/>
          <w:highlight w:val="none"/>
          <w:lang w:eastAsia="zh-CN"/>
        </w:rPr>
        <w:t>人</w:t>
      </w:r>
      <w:r>
        <w:rPr>
          <w:rFonts w:hint="eastAsia" w:ascii="仿宋" w:hAnsi="仿宋" w:eastAsia="仿宋" w:cs="仿宋"/>
          <w:bCs/>
          <w:color w:val="auto"/>
          <w:sz w:val="24"/>
          <w:szCs w:val="24"/>
          <w:highlight w:val="none"/>
        </w:rPr>
        <w:t>凭竞价保证金交款凭证进行现场签到。</w:t>
      </w:r>
    </w:p>
    <w:p w14:paraId="6715E4A9">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、公告期限</w:t>
      </w:r>
      <w:bookmarkEnd w:id="15"/>
      <w:bookmarkEnd w:id="16"/>
      <w:bookmarkEnd w:id="17"/>
    </w:p>
    <w:p w14:paraId="6BDA090C">
      <w:pPr>
        <w:pStyle w:val="3"/>
        <w:pageBreakBefore w:val="0"/>
        <w:kinsoku/>
        <w:wordWrap/>
        <w:overflowPunct/>
        <w:topLinePunct w:val="0"/>
        <w:autoSpaceDE/>
        <w:autoSpaceDN/>
        <w:bidi w:val="0"/>
        <w:spacing w:before="0" w:beforeAutospacing="0" w:after="0" w:afterAutospacing="0" w:line="540" w:lineRule="exact"/>
        <w:textAlignment w:val="auto"/>
        <w:rPr>
          <w:rFonts w:hint="eastAsia" w:hAnsi="仿宋" w:cs="仿宋"/>
          <w:bCs/>
          <w:color w:val="auto"/>
          <w:sz w:val="24"/>
          <w:szCs w:val="24"/>
          <w:highlight w:val="none"/>
          <w:lang w:val="en-US" w:eastAsia="zh-CN"/>
        </w:rPr>
      </w:pPr>
      <w:bookmarkStart w:id="18" w:name="_Toc126132845"/>
      <w:bookmarkStart w:id="19" w:name="_Toc2381"/>
      <w:bookmarkStart w:id="20" w:name="_Toc126156670"/>
      <w:r>
        <w:rPr>
          <w:rFonts w:hint="eastAsia" w:hAnsi="仿宋" w:cs="仿宋"/>
          <w:bCs/>
          <w:color w:val="auto"/>
          <w:sz w:val="24"/>
          <w:szCs w:val="24"/>
          <w:highlight w:val="none"/>
          <w:lang w:val="en-US" w:eastAsia="zh-CN"/>
        </w:rPr>
        <w:t>无</w:t>
      </w:r>
    </w:p>
    <w:p w14:paraId="26EA490D">
      <w:pPr>
        <w:pStyle w:val="3"/>
        <w:pageBreakBefore w:val="0"/>
        <w:kinsoku/>
        <w:wordWrap/>
        <w:overflowPunct/>
        <w:topLinePunct w:val="0"/>
        <w:autoSpaceDE/>
        <w:autoSpaceDN/>
        <w:bidi w:val="0"/>
        <w:spacing w:before="0" w:beforeAutospacing="0" w:after="0" w:afterAutospacing="0" w:line="5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、凡对本次采购提出询问，请按以下方式联系</w:t>
      </w:r>
      <w:bookmarkEnd w:id="18"/>
      <w:bookmarkEnd w:id="19"/>
      <w:bookmarkEnd w:id="20"/>
    </w:p>
    <w:p w14:paraId="43D23EB8">
      <w:pPr>
        <w:keepNext w:val="0"/>
        <w:keepLines w:val="0"/>
        <w:pageBreakBefore w:val="0"/>
        <w:widowControl w:val="0"/>
        <w:kinsoku/>
        <w:wordWrap/>
        <w:overflowPunct/>
        <w:topLinePunct w:val="0"/>
        <w:autoSpaceDE/>
        <w:autoSpaceDN/>
        <w:bidi w:val="0"/>
        <w:adjustRightInd/>
        <w:snapToGrid/>
        <w:spacing w:beforeAutospacing="0" w:line="5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采购人信息</w:t>
      </w:r>
    </w:p>
    <w:p w14:paraId="78AFB72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u w:val="single"/>
        </w:rPr>
        <w:t>万安县</w:t>
      </w:r>
      <w:r>
        <w:rPr>
          <w:rFonts w:hint="eastAsia" w:ascii="仿宋" w:hAnsi="仿宋" w:eastAsia="仿宋" w:cs="仿宋"/>
          <w:color w:val="auto"/>
          <w:sz w:val="24"/>
          <w:szCs w:val="24"/>
          <w:highlight w:val="none"/>
          <w:u w:val="single"/>
          <w:lang w:val="en-US" w:eastAsia="zh-CN"/>
        </w:rPr>
        <w:t>跃邦建筑工程有限公司</w:t>
      </w:r>
    </w:p>
    <w:p w14:paraId="44AD0374">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万安县</w:t>
      </w:r>
      <w:r>
        <w:rPr>
          <w:rFonts w:hint="eastAsia" w:ascii="仿宋" w:hAnsi="仿宋" w:eastAsia="仿宋" w:cs="仿宋"/>
          <w:color w:val="auto"/>
          <w:sz w:val="24"/>
          <w:szCs w:val="24"/>
          <w:highlight w:val="none"/>
          <w:u w:val="single"/>
          <w:lang w:val="en-US" w:eastAsia="zh-CN"/>
        </w:rPr>
        <w:t>人社局院内</w:t>
      </w:r>
    </w:p>
    <w:p w14:paraId="613DA8F2">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lang w:val="en-US" w:eastAsia="zh-CN"/>
        </w:rPr>
        <w:t>卢先生</w:t>
      </w:r>
    </w:p>
    <w:p w14:paraId="39DF86A4">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联系方式：</w:t>
      </w:r>
      <w:r>
        <w:rPr>
          <w:rFonts w:hint="eastAsia" w:hAnsi="仿宋" w:cs="仿宋"/>
          <w:color w:val="auto"/>
          <w:sz w:val="24"/>
          <w:szCs w:val="24"/>
          <w:highlight w:val="none"/>
          <w:u w:val="single"/>
          <w:lang w:val="en-US" w:eastAsia="zh-CN"/>
        </w:rPr>
        <w:t>0796-5709106</w:t>
      </w:r>
    </w:p>
    <w:p w14:paraId="6C5C4B13">
      <w:pPr>
        <w:pageBreakBefore w:val="0"/>
        <w:kinsoku/>
        <w:wordWrap/>
        <w:overflowPunct/>
        <w:topLinePunct w:val="0"/>
        <w:autoSpaceDE/>
        <w:autoSpaceDN/>
        <w:bidi w:val="0"/>
        <w:spacing w:line="540" w:lineRule="exact"/>
        <w:ind w:left="4400" w:leftChars="200" w:hanging="3840" w:hangingChars="16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14:paraId="6F9F01AA">
      <w:pPr>
        <w:pageBreakBefore w:val="0"/>
        <w:kinsoku/>
        <w:wordWrap/>
        <w:overflowPunct/>
        <w:topLinePunct w:val="0"/>
        <w:autoSpaceDE/>
        <w:autoSpaceDN/>
        <w:bidi w:val="0"/>
        <w:spacing w:line="540" w:lineRule="exact"/>
        <w:ind w:left="4960" w:leftChars="1600" w:hanging="480" w:hanging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万安县跃邦建筑工程有限公司</w:t>
      </w:r>
    </w:p>
    <w:p w14:paraId="07FB5D9C">
      <w:pPr>
        <w:ind w:firstLine="5280" w:firstLineChars="2200"/>
        <w:jc w:val="both"/>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202</w:t>
      </w:r>
      <w:r>
        <w:rPr>
          <w:rFonts w:hint="eastAsia" w:hAnsi="仿宋" w:cs="仿宋"/>
          <w:color w:val="auto"/>
          <w:sz w:val="24"/>
          <w:szCs w:val="24"/>
          <w:highlight w:val="none"/>
          <w:lang w:val="en-US" w:eastAsia="zh-CN"/>
        </w:rPr>
        <w:t>6</w:t>
      </w:r>
      <w:r>
        <w:rPr>
          <w:rFonts w:hint="eastAsia" w:ascii="仿宋" w:hAnsi="仿宋" w:eastAsia="仿宋" w:cs="仿宋"/>
          <w:color w:val="auto"/>
          <w:sz w:val="24"/>
          <w:szCs w:val="24"/>
          <w:highlight w:val="none"/>
        </w:rPr>
        <w:t>年</w:t>
      </w:r>
      <w:r>
        <w:rPr>
          <w:rFonts w:hint="eastAsia" w:hAnsi="仿宋" w:cs="仿宋"/>
          <w:color w:val="auto"/>
          <w:sz w:val="24"/>
          <w:szCs w:val="24"/>
          <w:highlight w:val="none"/>
          <w:lang w:val="en-US" w:eastAsia="zh-CN"/>
        </w:rPr>
        <w:t>6</w:t>
      </w:r>
      <w:r>
        <w:rPr>
          <w:rFonts w:hint="eastAsia" w:ascii="仿宋" w:hAnsi="仿宋" w:eastAsia="仿宋" w:cs="仿宋"/>
          <w:color w:val="auto"/>
          <w:sz w:val="24"/>
          <w:szCs w:val="24"/>
          <w:highlight w:val="none"/>
        </w:rPr>
        <w:t>月</w:t>
      </w:r>
      <w:r>
        <w:rPr>
          <w:rFonts w:hint="eastAsia" w:hAnsi="仿宋" w:cs="仿宋"/>
          <w:color w:val="auto"/>
          <w:sz w:val="24"/>
          <w:szCs w:val="24"/>
          <w:highlight w:val="none"/>
          <w:lang w:val="en-US" w:eastAsia="zh-CN"/>
        </w:rPr>
        <w:t>16</w:t>
      </w:r>
      <w:r>
        <w:rPr>
          <w:rFonts w:hint="eastAsia" w:ascii="仿宋" w:hAnsi="仿宋" w:eastAsia="仿宋" w:cs="仿宋"/>
          <w:color w:val="auto"/>
          <w:sz w:val="24"/>
          <w:szCs w:val="24"/>
          <w:highlight w:val="none"/>
        </w:rPr>
        <w:t>日</w:t>
      </w:r>
    </w:p>
    <w:p w14:paraId="2ED8A2F9">
      <w:pPr>
        <w:pageBreakBefore w:val="0"/>
        <w:kinsoku/>
        <w:wordWrap/>
        <w:overflowPunct/>
        <w:topLinePunct w:val="0"/>
        <w:autoSpaceDE/>
        <w:autoSpaceDN/>
        <w:bidi w:val="0"/>
        <w:spacing w:line="540" w:lineRule="exact"/>
        <w:ind w:left="4600" w:leftChars="1300" w:hanging="960" w:hangingChars="4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41AE65C7">
      <w:pPr>
        <w:pStyle w:val="2"/>
        <w:spacing w:after="0" w:afterAutospacing="0" w:line="360" w:lineRule="auto"/>
        <w:jc w:val="both"/>
        <w:rPr>
          <w:rFonts w:hint="eastAsia" w:ascii="仿宋" w:hAnsi="仿宋" w:eastAsia="仿宋" w:cs="仿宋"/>
          <w:sz w:val="24"/>
          <w:szCs w:val="24"/>
          <w:highlight w:val="none"/>
        </w:rPr>
      </w:pPr>
      <w:bookmarkStart w:id="21" w:name="_Toc9202"/>
      <w:r>
        <w:rPr>
          <w:rFonts w:hint="eastAsia" w:ascii="仿宋" w:hAnsi="仿宋" w:eastAsia="仿宋" w:cs="仿宋"/>
          <w:b/>
          <w:bCs/>
          <w:color w:val="auto"/>
          <w:sz w:val="24"/>
          <w:szCs w:val="24"/>
          <w:highlight w:val="none"/>
        </w:rPr>
        <w:t>附件1.  采购需求</w:t>
      </w:r>
      <w:bookmarkEnd w:id="21"/>
    </w:p>
    <w:p w14:paraId="631AACAB">
      <w:pPr>
        <w:numPr>
          <w:ilvl w:val="0"/>
          <w:numId w:val="1"/>
        </w:numPr>
        <w:spacing w:line="360" w:lineRule="auto"/>
        <w:rPr>
          <w:rFonts w:hint="eastAsia"/>
          <w:lang w:val="en-US" w:eastAsia="zh-CN"/>
        </w:rPr>
      </w:pPr>
      <w:r>
        <w:rPr>
          <w:rFonts w:hint="eastAsia" w:ascii="仿宋" w:hAnsi="仿宋" w:eastAsia="仿宋" w:cs="仿宋"/>
          <w:b/>
          <w:bCs/>
          <w:sz w:val="24"/>
          <w:szCs w:val="24"/>
          <w:highlight w:val="none"/>
          <w:lang w:val="en-US" w:eastAsia="zh-CN"/>
        </w:rPr>
        <w:t>清单：</w:t>
      </w:r>
    </w:p>
    <w:tbl>
      <w:tblPr>
        <w:tblStyle w:val="8"/>
        <w:tblW w:w="5000" w:type="pct"/>
        <w:jc w:val="center"/>
        <w:tblLayout w:type="fixed"/>
        <w:tblCellMar>
          <w:top w:w="0" w:type="dxa"/>
          <w:left w:w="108" w:type="dxa"/>
          <w:bottom w:w="0" w:type="dxa"/>
          <w:right w:w="108" w:type="dxa"/>
        </w:tblCellMar>
      </w:tblPr>
      <w:tblGrid>
        <w:gridCol w:w="706"/>
        <w:gridCol w:w="2083"/>
        <w:gridCol w:w="1156"/>
        <w:gridCol w:w="706"/>
        <w:gridCol w:w="1201"/>
        <w:gridCol w:w="1025"/>
        <w:gridCol w:w="1042"/>
        <w:gridCol w:w="609"/>
      </w:tblGrid>
      <w:tr w14:paraId="01192AD0">
        <w:tblPrEx>
          <w:tblCellMar>
            <w:top w:w="0" w:type="dxa"/>
            <w:left w:w="108" w:type="dxa"/>
            <w:bottom w:w="0" w:type="dxa"/>
            <w:right w:w="108" w:type="dxa"/>
          </w:tblCellMar>
        </w:tblPrEx>
        <w:trPr>
          <w:trHeight w:val="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0D3283E6">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rPr>
              <w:t>序号</w:t>
            </w:r>
          </w:p>
        </w:tc>
        <w:tc>
          <w:tcPr>
            <w:tcW w:w="1221" w:type="pct"/>
            <w:tcBorders>
              <w:top w:val="single" w:color="auto" w:sz="4" w:space="0"/>
              <w:left w:val="nil"/>
              <w:bottom w:val="single" w:color="auto" w:sz="4" w:space="0"/>
              <w:right w:val="single" w:color="auto" w:sz="4" w:space="0"/>
            </w:tcBorders>
            <w:noWrap/>
            <w:vAlign w:val="center"/>
          </w:tcPr>
          <w:p w14:paraId="459F23B7">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rPr>
              <w:t>名称</w:t>
            </w:r>
          </w:p>
        </w:tc>
        <w:tc>
          <w:tcPr>
            <w:tcW w:w="677" w:type="pct"/>
            <w:tcBorders>
              <w:top w:val="single" w:color="auto" w:sz="4" w:space="0"/>
              <w:left w:val="nil"/>
              <w:bottom w:val="single" w:color="auto" w:sz="4" w:space="0"/>
              <w:right w:val="single" w:color="auto" w:sz="4" w:space="0"/>
            </w:tcBorders>
            <w:noWrap/>
            <w:vAlign w:val="center"/>
          </w:tcPr>
          <w:p w14:paraId="20C42D0A">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rPr>
              <w:t>单位</w:t>
            </w:r>
          </w:p>
        </w:tc>
        <w:tc>
          <w:tcPr>
            <w:tcW w:w="413" w:type="pct"/>
            <w:tcBorders>
              <w:top w:val="single" w:color="auto" w:sz="4" w:space="0"/>
              <w:left w:val="nil"/>
              <w:bottom w:val="single" w:color="auto" w:sz="4" w:space="0"/>
              <w:right w:val="single" w:color="auto" w:sz="4" w:space="0"/>
            </w:tcBorders>
            <w:noWrap/>
            <w:vAlign w:val="center"/>
          </w:tcPr>
          <w:p w14:paraId="42EFA89C">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数量</w:t>
            </w:r>
          </w:p>
        </w:tc>
        <w:tc>
          <w:tcPr>
            <w:tcW w:w="704" w:type="pct"/>
            <w:tcBorders>
              <w:top w:val="single" w:color="auto" w:sz="4" w:space="0"/>
              <w:left w:val="nil"/>
              <w:bottom w:val="single" w:color="auto" w:sz="4" w:space="0"/>
              <w:right w:val="single" w:color="auto" w:sz="4" w:space="0"/>
            </w:tcBorders>
            <w:noWrap/>
            <w:vAlign w:val="center"/>
          </w:tcPr>
          <w:p w14:paraId="1224C875">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rPr>
            </w:pPr>
            <w:r>
              <w:rPr>
                <w:rFonts w:hint="eastAsia" w:ascii="仿宋" w:hAnsi="仿宋" w:eastAsia="仿宋" w:cs="仿宋"/>
                <w:b w:val="0"/>
                <w:i w:val="0"/>
                <w:caps w:val="0"/>
                <w:spacing w:val="0"/>
                <w:w w:val="100"/>
                <w:sz w:val="24"/>
                <w:szCs w:val="24"/>
                <w:lang w:val="en-US" w:eastAsia="zh-CN"/>
              </w:rPr>
              <w:t>租赁时间（月）</w:t>
            </w:r>
          </w:p>
        </w:tc>
        <w:tc>
          <w:tcPr>
            <w:tcW w:w="600" w:type="pct"/>
            <w:tcBorders>
              <w:top w:val="single" w:color="auto" w:sz="4" w:space="0"/>
              <w:left w:val="nil"/>
              <w:bottom w:val="single" w:color="auto" w:sz="4" w:space="0"/>
              <w:right w:val="single" w:color="auto" w:sz="4" w:space="0"/>
            </w:tcBorders>
            <w:noWrap/>
            <w:vAlign w:val="center"/>
          </w:tcPr>
          <w:p w14:paraId="2EA7A826">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hAnsi="仿宋" w:cs="仿宋"/>
                <w:b w:val="0"/>
                <w:i w:val="0"/>
                <w:caps w:val="0"/>
                <w:spacing w:val="0"/>
                <w:w w:val="100"/>
                <w:sz w:val="24"/>
                <w:szCs w:val="24"/>
                <w:lang w:val="en-US" w:eastAsia="zh-CN"/>
              </w:rPr>
              <w:t>含税控制</w:t>
            </w:r>
            <w:r>
              <w:rPr>
                <w:rFonts w:hint="eastAsia" w:ascii="仿宋" w:hAnsi="仿宋" w:eastAsia="仿宋" w:cs="仿宋"/>
                <w:b w:val="0"/>
                <w:i w:val="0"/>
                <w:caps w:val="0"/>
                <w:spacing w:val="0"/>
                <w:w w:val="100"/>
                <w:sz w:val="24"/>
                <w:szCs w:val="24"/>
                <w:lang w:val="en-US" w:eastAsia="zh-CN"/>
              </w:rPr>
              <w:t>单价</w:t>
            </w:r>
            <w:r>
              <w:rPr>
                <w:rFonts w:hint="eastAsia" w:hAnsi="仿宋" w:cs="仿宋"/>
                <w:b w:val="0"/>
                <w:i w:val="0"/>
                <w:caps w:val="0"/>
                <w:spacing w:val="0"/>
                <w:w w:val="100"/>
                <w:sz w:val="24"/>
                <w:szCs w:val="24"/>
                <w:lang w:val="en-US" w:eastAsia="zh-CN"/>
              </w:rPr>
              <w:t>（元）</w:t>
            </w:r>
          </w:p>
        </w:tc>
        <w:tc>
          <w:tcPr>
            <w:tcW w:w="610" w:type="pct"/>
            <w:tcBorders>
              <w:top w:val="single" w:color="auto" w:sz="4" w:space="0"/>
              <w:left w:val="nil"/>
              <w:bottom w:val="single" w:color="auto" w:sz="4" w:space="0"/>
              <w:right w:val="single" w:color="auto" w:sz="4" w:space="0"/>
            </w:tcBorders>
            <w:noWrap w:val="0"/>
            <w:vAlign w:val="center"/>
          </w:tcPr>
          <w:p w14:paraId="6FE10A0A">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hAnsi="仿宋" w:cs="仿宋"/>
                <w:b w:val="0"/>
                <w:i w:val="0"/>
                <w:caps w:val="0"/>
                <w:spacing w:val="0"/>
                <w:w w:val="100"/>
                <w:sz w:val="24"/>
                <w:szCs w:val="24"/>
                <w:lang w:val="en-US" w:eastAsia="zh-CN"/>
              </w:rPr>
              <w:t>含税控制</w:t>
            </w:r>
            <w:r>
              <w:rPr>
                <w:rFonts w:hint="eastAsia" w:ascii="仿宋" w:hAnsi="仿宋" w:eastAsia="仿宋" w:cs="仿宋"/>
                <w:b w:val="0"/>
                <w:i w:val="0"/>
                <w:caps w:val="0"/>
                <w:spacing w:val="0"/>
                <w:w w:val="100"/>
                <w:sz w:val="24"/>
                <w:szCs w:val="24"/>
                <w:lang w:val="en-US" w:eastAsia="zh-CN"/>
              </w:rPr>
              <w:t>总价</w:t>
            </w:r>
            <w:r>
              <w:rPr>
                <w:rFonts w:hint="eastAsia" w:hAnsi="仿宋" w:cs="仿宋"/>
                <w:b w:val="0"/>
                <w:i w:val="0"/>
                <w:caps w:val="0"/>
                <w:spacing w:val="0"/>
                <w:w w:val="100"/>
                <w:sz w:val="24"/>
                <w:szCs w:val="24"/>
                <w:lang w:val="en-US" w:eastAsia="zh-CN"/>
              </w:rPr>
              <w:t>（元）</w:t>
            </w:r>
          </w:p>
        </w:tc>
        <w:tc>
          <w:tcPr>
            <w:tcW w:w="357" w:type="pct"/>
            <w:tcBorders>
              <w:top w:val="single" w:color="auto" w:sz="4" w:space="0"/>
              <w:left w:val="single" w:color="auto" w:sz="4" w:space="0"/>
              <w:bottom w:val="single" w:color="auto" w:sz="4" w:space="0"/>
              <w:right w:val="single" w:color="auto" w:sz="4" w:space="0"/>
            </w:tcBorders>
            <w:noWrap w:val="0"/>
            <w:vAlign w:val="center"/>
          </w:tcPr>
          <w:p w14:paraId="4BDE68CA">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备注</w:t>
            </w:r>
          </w:p>
        </w:tc>
      </w:tr>
      <w:tr w14:paraId="21E94B15">
        <w:tblPrEx>
          <w:tblCellMar>
            <w:top w:w="0" w:type="dxa"/>
            <w:left w:w="108" w:type="dxa"/>
            <w:bottom w:w="0" w:type="dxa"/>
            <w:right w:w="108" w:type="dxa"/>
          </w:tblCellMar>
        </w:tblPrEx>
        <w:trPr>
          <w:trHeight w:val="0" w:hRule="atLeast"/>
          <w:jc w:val="center"/>
        </w:trPr>
        <w:tc>
          <w:tcPr>
            <w:tcW w:w="413" w:type="pct"/>
            <w:tcBorders>
              <w:top w:val="nil"/>
              <w:left w:val="single" w:color="auto" w:sz="4" w:space="0"/>
              <w:bottom w:val="single" w:color="auto" w:sz="4" w:space="0"/>
              <w:right w:val="single" w:color="auto" w:sz="4" w:space="0"/>
            </w:tcBorders>
            <w:noWrap/>
            <w:vAlign w:val="center"/>
          </w:tcPr>
          <w:p w14:paraId="6BECEC38">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1</w:t>
            </w:r>
          </w:p>
        </w:tc>
        <w:tc>
          <w:tcPr>
            <w:tcW w:w="1221" w:type="pct"/>
            <w:tcBorders>
              <w:top w:val="nil"/>
              <w:left w:val="nil"/>
              <w:bottom w:val="single" w:color="auto" w:sz="4" w:space="0"/>
              <w:right w:val="single" w:color="auto" w:sz="4" w:space="0"/>
            </w:tcBorders>
            <w:noWrap/>
            <w:vAlign w:val="center"/>
          </w:tcPr>
          <w:p w14:paraId="121441F5">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37#、41-42#、44#-46#物料提升机（</w:t>
            </w:r>
            <w:r>
              <w:rPr>
                <w:rFonts w:hint="eastAsia" w:ascii="仿宋" w:hAnsi="仿宋" w:eastAsia="仿宋" w:cs="仿宋"/>
                <w:color w:val="auto"/>
                <w:sz w:val="24"/>
                <w:szCs w:val="24"/>
                <w:highlight w:val="none"/>
                <w:u w:val="none"/>
                <w:lang w:val="en-US" w:eastAsia="zh-CN"/>
              </w:rPr>
              <w:t>SSED100</w:t>
            </w:r>
            <w:r>
              <w:rPr>
                <w:rFonts w:hint="eastAsia" w:ascii="仿宋" w:hAnsi="仿宋" w:eastAsia="仿宋" w:cs="仿宋"/>
                <w:b w:val="0"/>
                <w:i w:val="0"/>
                <w:caps w:val="0"/>
                <w:spacing w:val="0"/>
                <w:w w:val="100"/>
                <w:sz w:val="24"/>
                <w:szCs w:val="24"/>
                <w:lang w:val="en-US" w:eastAsia="zh-CN"/>
              </w:rPr>
              <w:t>）</w:t>
            </w:r>
          </w:p>
        </w:tc>
        <w:tc>
          <w:tcPr>
            <w:tcW w:w="677" w:type="pct"/>
            <w:tcBorders>
              <w:top w:val="nil"/>
              <w:left w:val="nil"/>
              <w:bottom w:val="single" w:color="auto" w:sz="4" w:space="0"/>
              <w:right w:val="single" w:color="auto" w:sz="4" w:space="0"/>
            </w:tcBorders>
            <w:noWrap/>
            <w:vAlign w:val="center"/>
          </w:tcPr>
          <w:p w14:paraId="76AB970C">
            <w:pPr>
              <w:keepNext w:val="0"/>
              <w:keepLines w:val="0"/>
              <w:widowControl/>
              <w:suppressLineNumbers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413" w:type="pct"/>
            <w:tcBorders>
              <w:top w:val="nil"/>
              <w:left w:val="nil"/>
              <w:bottom w:val="single" w:color="auto" w:sz="4" w:space="0"/>
              <w:right w:val="single" w:color="auto" w:sz="4" w:space="0"/>
            </w:tcBorders>
            <w:noWrap/>
            <w:vAlign w:val="center"/>
          </w:tcPr>
          <w:p w14:paraId="72DB3B9E">
            <w:pPr>
              <w:keepNext w:val="0"/>
              <w:keepLines w:val="0"/>
              <w:widowControl/>
              <w:suppressLineNumbers w:val="0"/>
              <w:snapToGrid w:val="0"/>
              <w:jc w:val="center"/>
              <w:textAlignment w:val="center"/>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3</w:t>
            </w:r>
          </w:p>
        </w:tc>
        <w:tc>
          <w:tcPr>
            <w:tcW w:w="704" w:type="pct"/>
            <w:tcBorders>
              <w:top w:val="nil"/>
              <w:left w:val="nil"/>
              <w:bottom w:val="single" w:color="auto" w:sz="4" w:space="0"/>
              <w:right w:val="single" w:color="auto" w:sz="4" w:space="0"/>
            </w:tcBorders>
            <w:noWrap/>
            <w:vAlign w:val="center"/>
          </w:tcPr>
          <w:p w14:paraId="10A000E7">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5</w:t>
            </w:r>
          </w:p>
        </w:tc>
        <w:tc>
          <w:tcPr>
            <w:tcW w:w="600" w:type="pct"/>
            <w:tcBorders>
              <w:top w:val="nil"/>
              <w:left w:val="nil"/>
              <w:bottom w:val="single" w:color="auto" w:sz="4" w:space="0"/>
              <w:right w:val="single" w:color="auto" w:sz="4" w:space="0"/>
            </w:tcBorders>
            <w:noWrap/>
            <w:vAlign w:val="center"/>
          </w:tcPr>
          <w:p w14:paraId="139BDCCA">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6250</w:t>
            </w:r>
          </w:p>
        </w:tc>
        <w:tc>
          <w:tcPr>
            <w:tcW w:w="610" w:type="pct"/>
            <w:tcBorders>
              <w:top w:val="nil"/>
              <w:left w:val="nil"/>
              <w:bottom w:val="single" w:color="auto" w:sz="4" w:space="0"/>
              <w:right w:val="single" w:color="auto" w:sz="4" w:space="0"/>
            </w:tcBorders>
            <w:noWrap w:val="0"/>
            <w:vAlign w:val="center"/>
          </w:tcPr>
          <w:p w14:paraId="1965925F">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93750</w:t>
            </w:r>
          </w:p>
        </w:tc>
        <w:tc>
          <w:tcPr>
            <w:tcW w:w="357" w:type="pct"/>
            <w:tcBorders>
              <w:top w:val="nil"/>
              <w:left w:val="single" w:color="auto" w:sz="4" w:space="0"/>
              <w:bottom w:val="single" w:color="auto" w:sz="4" w:space="0"/>
              <w:right w:val="single" w:color="auto" w:sz="4" w:space="0"/>
            </w:tcBorders>
            <w:noWrap w:val="0"/>
            <w:vAlign w:val="center"/>
          </w:tcPr>
          <w:p w14:paraId="72AA8885">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p>
        </w:tc>
      </w:tr>
      <w:tr w14:paraId="6DDC60BC">
        <w:tblPrEx>
          <w:tblCellMar>
            <w:top w:w="0" w:type="dxa"/>
            <w:left w:w="108" w:type="dxa"/>
            <w:bottom w:w="0" w:type="dxa"/>
            <w:right w:w="108" w:type="dxa"/>
          </w:tblCellMar>
        </w:tblPrEx>
        <w:trPr>
          <w:trHeight w:val="0" w:hRule="atLeast"/>
          <w:jc w:val="center"/>
        </w:trPr>
        <w:tc>
          <w:tcPr>
            <w:tcW w:w="413" w:type="pct"/>
            <w:tcBorders>
              <w:top w:val="nil"/>
              <w:left w:val="single" w:color="auto" w:sz="4" w:space="0"/>
              <w:bottom w:val="single" w:color="auto" w:sz="4" w:space="0"/>
              <w:right w:val="single" w:color="auto" w:sz="4" w:space="0"/>
            </w:tcBorders>
            <w:noWrap/>
            <w:vAlign w:val="center"/>
          </w:tcPr>
          <w:p w14:paraId="7F1C28C1">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2</w:t>
            </w:r>
          </w:p>
        </w:tc>
        <w:tc>
          <w:tcPr>
            <w:tcW w:w="1221" w:type="pct"/>
            <w:tcBorders>
              <w:top w:val="nil"/>
              <w:left w:val="nil"/>
              <w:bottom w:val="single" w:color="auto" w:sz="4" w:space="0"/>
              <w:right w:val="single" w:color="auto" w:sz="4" w:space="0"/>
            </w:tcBorders>
            <w:noWrap/>
            <w:vAlign w:val="center"/>
          </w:tcPr>
          <w:p w14:paraId="4D846CCA">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进出场费</w:t>
            </w:r>
          </w:p>
        </w:tc>
        <w:tc>
          <w:tcPr>
            <w:tcW w:w="677" w:type="pct"/>
            <w:tcBorders>
              <w:top w:val="nil"/>
              <w:left w:val="nil"/>
              <w:bottom w:val="single" w:color="auto" w:sz="4" w:space="0"/>
              <w:right w:val="single" w:color="auto" w:sz="4" w:space="0"/>
            </w:tcBorders>
            <w:noWrap/>
            <w:vAlign w:val="center"/>
          </w:tcPr>
          <w:p w14:paraId="49A08916">
            <w:pPr>
              <w:keepNext w:val="0"/>
              <w:keepLines w:val="0"/>
              <w:widowControl/>
              <w:suppressLineNumbers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413" w:type="pct"/>
            <w:tcBorders>
              <w:top w:val="nil"/>
              <w:left w:val="nil"/>
              <w:bottom w:val="single" w:color="auto" w:sz="4" w:space="0"/>
              <w:right w:val="single" w:color="auto" w:sz="4" w:space="0"/>
            </w:tcBorders>
            <w:noWrap/>
            <w:vAlign w:val="center"/>
          </w:tcPr>
          <w:p w14:paraId="3D2F0D95">
            <w:pPr>
              <w:keepNext w:val="0"/>
              <w:keepLines w:val="0"/>
              <w:widowControl/>
              <w:suppressLineNumbers w:val="0"/>
              <w:snapToGrid w:val="0"/>
              <w:jc w:val="center"/>
              <w:textAlignment w:val="center"/>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3</w:t>
            </w:r>
          </w:p>
        </w:tc>
        <w:tc>
          <w:tcPr>
            <w:tcW w:w="704" w:type="pct"/>
            <w:tcBorders>
              <w:top w:val="nil"/>
              <w:left w:val="nil"/>
              <w:bottom w:val="single" w:color="auto" w:sz="4" w:space="0"/>
              <w:right w:val="single" w:color="auto" w:sz="4" w:space="0"/>
            </w:tcBorders>
            <w:noWrap/>
            <w:vAlign w:val="center"/>
          </w:tcPr>
          <w:p w14:paraId="26F6457F">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p>
        </w:tc>
        <w:tc>
          <w:tcPr>
            <w:tcW w:w="600" w:type="pct"/>
            <w:tcBorders>
              <w:top w:val="nil"/>
              <w:left w:val="nil"/>
              <w:bottom w:val="single" w:color="auto" w:sz="4" w:space="0"/>
              <w:right w:val="single" w:color="auto" w:sz="4" w:space="0"/>
            </w:tcBorders>
            <w:noWrap/>
            <w:vAlign w:val="center"/>
          </w:tcPr>
          <w:p w14:paraId="1B90C567">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8200</w:t>
            </w:r>
          </w:p>
        </w:tc>
        <w:tc>
          <w:tcPr>
            <w:tcW w:w="610" w:type="pct"/>
            <w:tcBorders>
              <w:top w:val="nil"/>
              <w:left w:val="nil"/>
              <w:bottom w:val="single" w:color="auto" w:sz="4" w:space="0"/>
              <w:right w:val="single" w:color="auto" w:sz="4" w:space="0"/>
            </w:tcBorders>
            <w:noWrap w:val="0"/>
            <w:vAlign w:val="center"/>
          </w:tcPr>
          <w:p w14:paraId="4134FA3A">
            <w:pPr>
              <w:keepLines w:val="0"/>
              <w:widowControl/>
              <w:snapToGrid w:val="0"/>
              <w:spacing w:before="0" w:beforeAutospacing="0" w:after="0" w:afterAutospacing="0" w:line="480" w:lineRule="exact"/>
              <w:jc w:val="center"/>
              <w:textAlignment w:val="baseline"/>
              <w:rPr>
                <w:rFonts w:hint="eastAsia" w:ascii="仿宋" w:hAnsi="仿宋" w:eastAsia="仿宋" w:cs="仿宋"/>
                <w:sz w:val="24"/>
                <w:szCs w:val="24"/>
                <w:highlight w:val="none"/>
                <w:u w:val="none"/>
                <w:lang w:val="en-US" w:eastAsia="zh-CN"/>
              </w:rPr>
            </w:pPr>
            <w:r>
              <w:rPr>
                <w:rFonts w:hint="eastAsia" w:ascii="仿宋" w:hAnsi="仿宋" w:eastAsia="仿宋" w:cs="仿宋"/>
                <w:sz w:val="24"/>
                <w:szCs w:val="24"/>
                <w:highlight w:val="none"/>
                <w:u w:val="none"/>
                <w:lang w:val="en-US" w:eastAsia="zh-CN"/>
              </w:rPr>
              <w:t>24600</w:t>
            </w:r>
          </w:p>
        </w:tc>
        <w:tc>
          <w:tcPr>
            <w:tcW w:w="357" w:type="pct"/>
            <w:tcBorders>
              <w:top w:val="nil"/>
              <w:left w:val="single" w:color="auto" w:sz="4" w:space="0"/>
              <w:bottom w:val="single" w:color="auto" w:sz="4" w:space="0"/>
              <w:right w:val="single" w:color="auto" w:sz="4" w:space="0"/>
            </w:tcBorders>
            <w:noWrap w:val="0"/>
            <w:vAlign w:val="center"/>
          </w:tcPr>
          <w:p w14:paraId="6A0C6597">
            <w:pPr>
              <w:keepLines w:val="0"/>
              <w:widowControl/>
              <w:snapToGrid w:val="0"/>
              <w:spacing w:before="0" w:beforeAutospacing="0" w:after="0" w:afterAutospacing="0" w:line="480" w:lineRule="exact"/>
              <w:jc w:val="center"/>
              <w:textAlignment w:val="baseline"/>
              <w:rPr>
                <w:rFonts w:hint="eastAsia" w:ascii="仿宋" w:hAnsi="仿宋" w:eastAsia="仿宋" w:cs="仿宋"/>
                <w:sz w:val="24"/>
                <w:szCs w:val="24"/>
                <w:highlight w:val="none"/>
                <w:u w:val="none"/>
                <w:lang w:val="en-US" w:eastAsia="zh-CN"/>
              </w:rPr>
            </w:pPr>
          </w:p>
        </w:tc>
      </w:tr>
      <w:tr w14:paraId="06A2257C">
        <w:tblPrEx>
          <w:tblCellMar>
            <w:top w:w="0" w:type="dxa"/>
            <w:left w:w="108" w:type="dxa"/>
            <w:bottom w:w="0" w:type="dxa"/>
            <w:right w:w="108" w:type="dxa"/>
          </w:tblCellMar>
        </w:tblPrEx>
        <w:trPr>
          <w:trHeight w:val="0" w:hRule="atLeast"/>
          <w:jc w:val="center"/>
        </w:trPr>
        <w:tc>
          <w:tcPr>
            <w:tcW w:w="4032" w:type="pct"/>
            <w:gridSpan w:val="6"/>
            <w:tcBorders>
              <w:top w:val="single" w:color="auto" w:sz="4" w:space="0"/>
              <w:left w:val="single" w:color="auto" w:sz="4" w:space="0"/>
              <w:bottom w:val="single" w:color="auto" w:sz="4" w:space="0"/>
              <w:right w:val="single" w:color="auto" w:sz="4" w:space="0"/>
            </w:tcBorders>
            <w:noWrap/>
            <w:vAlign w:val="center"/>
          </w:tcPr>
          <w:p w14:paraId="57079B02">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合计金额</w:t>
            </w:r>
          </w:p>
        </w:tc>
        <w:tc>
          <w:tcPr>
            <w:tcW w:w="610" w:type="pct"/>
            <w:tcBorders>
              <w:top w:val="single" w:color="auto" w:sz="4" w:space="0"/>
              <w:left w:val="single" w:color="auto" w:sz="4" w:space="0"/>
              <w:bottom w:val="single" w:color="auto" w:sz="4" w:space="0"/>
              <w:right w:val="single" w:color="auto" w:sz="4" w:space="0"/>
            </w:tcBorders>
            <w:noWrap/>
            <w:vAlign w:val="center"/>
          </w:tcPr>
          <w:p w14:paraId="2983A264">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118350</w:t>
            </w:r>
          </w:p>
        </w:tc>
        <w:tc>
          <w:tcPr>
            <w:tcW w:w="357" w:type="pct"/>
            <w:tcBorders>
              <w:top w:val="single" w:color="auto" w:sz="4" w:space="0"/>
              <w:left w:val="single" w:color="auto" w:sz="4" w:space="0"/>
              <w:bottom w:val="single" w:color="auto" w:sz="4" w:space="0"/>
              <w:right w:val="single" w:color="auto" w:sz="4" w:space="0"/>
            </w:tcBorders>
            <w:noWrap/>
            <w:vAlign w:val="center"/>
          </w:tcPr>
          <w:p w14:paraId="14CBF9CC">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p>
        </w:tc>
      </w:tr>
      <w:tr w14:paraId="579C8CEB">
        <w:tblPrEx>
          <w:tblCellMar>
            <w:top w:w="0" w:type="dxa"/>
            <w:left w:w="108" w:type="dxa"/>
            <w:bottom w:w="0" w:type="dxa"/>
            <w:right w:w="108"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19C41E4D">
            <w:pPr>
              <w:keepLines w:val="0"/>
              <w:widowControl/>
              <w:snapToGrid w:val="0"/>
              <w:spacing w:before="0" w:beforeAutospacing="0" w:after="0" w:afterAutospacing="0" w:line="480" w:lineRule="exact"/>
              <w:jc w:val="center"/>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本租金及进出场费包含但不限于物料提升机的租金（包括司机工资）、进出场费（包含进出场运费、安装、拆卸、顶升、附着、检测验收费用）、利润、管理费及税金等。</w:t>
            </w:r>
          </w:p>
        </w:tc>
      </w:tr>
    </w:tbl>
    <w:p w14:paraId="427F279F">
      <w:pPr>
        <w:pStyle w:val="3"/>
        <w:spacing w:before="0" w:beforeAutospacing="0" w:after="0" w:afterAutospacing="0" w:line="560" w:lineRule="exact"/>
        <w:rPr>
          <w:rFonts w:hint="eastAsia" w:ascii="仿宋" w:hAnsi="仿宋" w:eastAsia="仿宋" w:cs="仿宋"/>
          <w:b/>
          <w:bCs/>
          <w:kern w:val="2"/>
          <w:sz w:val="24"/>
          <w:szCs w:val="24"/>
          <w:highlight w:val="none"/>
          <w:lang w:val="en-US" w:eastAsia="zh-CN" w:bidi="ar-SA"/>
        </w:rPr>
      </w:pPr>
      <w:bookmarkStart w:id="22" w:name="_Toc127282761"/>
      <w:bookmarkStart w:id="23" w:name="_Toc2271"/>
      <w:r>
        <w:rPr>
          <w:rFonts w:hint="eastAsia" w:hAnsi="仿宋" w:cs="仿宋"/>
          <w:b/>
          <w:bCs/>
          <w:kern w:val="2"/>
          <w:sz w:val="24"/>
          <w:szCs w:val="24"/>
          <w:highlight w:val="none"/>
          <w:lang w:val="en-US" w:eastAsia="zh-CN" w:bidi="ar-SA"/>
        </w:rPr>
        <w:t>二</w:t>
      </w:r>
      <w:r>
        <w:rPr>
          <w:rFonts w:hint="eastAsia" w:ascii="仿宋" w:hAnsi="仿宋" w:eastAsia="仿宋" w:cs="仿宋"/>
          <w:b/>
          <w:bCs/>
          <w:kern w:val="2"/>
          <w:sz w:val="24"/>
          <w:szCs w:val="24"/>
          <w:highlight w:val="none"/>
          <w:lang w:val="en-US" w:eastAsia="zh-CN" w:bidi="ar-SA"/>
        </w:rPr>
        <w:t>、其他事项</w:t>
      </w:r>
      <w:bookmarkEnd w:id="22"/>
      <w:bookmarkEnd w:id="23"/>
    </w:p>
    <w:p w14:paraId="635A2CBC">
      <w:pPr>
        <w:pStyle w:val="6"/>
        <w:spacing w:beforeAutospacing="0" w:after="0" w:afterAutospacing="0" w:line="360" w:lineRule="auto"/>
        <w:rPr>
          <w:rFonts w:hint="eastAsia" w:ascii="仿宋" w:hAnsi="仿宋" w:eastAsia="仿宋" w:cs="仿宋"/>
          <w:color w:val="auto"/>
          <w:sz w:val="24"/>
          <w:szCs w:val="24"/>
          <w:highlight w:val="none"/>
          <w:u w:val="single"/>
        </w:rPr>
      </w:pPr>
      <w:bookmarkStart w:id="24" w:name="_Toc126132850"/>
      <w:bookmarkStart w:id="25" w:name="_Toc19946"/>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招标人指定地点</w:t>
      </w:r>
    </w:p>
    <w:p w14:paraId="0E5ADAA2">
      <w:pPr>
        <w:pageBreakBefore w:val="0"/>
        <w:kinsoku/>
        <w:wordWrap/>
        <w:overflowPunct/>
        <w:topLinePunct w:val="0"/>
        <w:autoSpaceDE/>
        <w:autoSpaceDN/>
        <w:bidi w:val="0"/>
        <w:spacing w:line="540" w:lineRule="exact"/>
        <w:textAlignment w:val="auto"/>
        <w:rPr>
          <w:rFonts w:hint="eastAsia" w:ascii="仿宋" w:hAnsi="仿宋" w:eastAsia="仿宋" w:cs="仿宋"/>
          <w:color w:val="auto"/>
          <w:sz w:val="24"/>
          <w:szCs w:val="24"/>
          <w:highlight w:val="none"/>
          <w:lang w:eastAsia="zh-CN"/>
        </w:rPr>
      </w:pPr>
      <w:r>
        <w:rPr>
          <w:rFonts w:hint="eastAsia" w:hAnsi="仿宋" w:cs="仿宋"/>
          <w:b/>
          <w:bCs/>
          <w:color w:val="auto"/>
          <w:sz w:val="24"/>
          <w:szCs w:val="24"/>
          <w:highlight w:val="none"/>
          <w:u w:val="none"/>
          <w:lang w:val="en-US" w:eastAsia="zh-CN"/>
        </w:rPr>
        <w:t>2</w:t>
      </w:r>
      <w:r>
        <w:rPr>
          <w:rFonts w:hint="eastAsia" w:ascii="仿宋" w:hAnsi="仿宋" w:eastAsia="仿宋" w:cs="仿宋"/>
          <w:b/>
          <w:bCs/>
          <w:color w:val="auto"/>
          <w:sz w:val="24"/>
          <w:szCs w:val="24"/>
          <w:highlight w:val="none"/>
          <w:u w:val="none"/>
          <w:lang w:val="en-US" w:eastAsia="zh-CN"/>
        </w:rPr>
        <w:t>、最高限价：</w:t>
      </w:r>
      <w:r>
        <w:rPr>
          <w:rFonts w:hint="eastAsia" w:ascii="仿宋" w:hAnsi="仿宋" w:eastAsia="仿宋" w:cs="仿宋"/>
          <w:b/>
          <w:bCs/>
          <w:color w:val="auto"/>
          <w:sz w:val="24"/>
          <w:szCs w:val="24"/>
          <w:highlight w:val="none"/>
          <w:u w:val="single"/>
          <w:lang w:val="en-US" w:eastAsia="zh-CN"/>
        </w:rPr>
        <w:t>118350元（含税）</w:t>
      </w:r>
    </w:p>
    <w:p w14:paraId="3F47095F">
      <w:pPr>
        <w:spacing w:line="360" w:lineRule="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总报价：</w:t>
      </w:r>
      <w:r>
        <w:rPr>
          <w:rFonts w:hint="eastAsia" w:ascii="仿宋" w:hAnsi="仿宋" w:eastAsia="仿宋" w:cs="仿宋"/>
          <w:color w:val="auto"/>
          <w:sz w:val="24"/>
          <w:szCs w:val="24"/>
          <w:highlight w:val="none"/>
          <w:u w:val="single"/>
          <w:lang w:val="en-US" w:eastAsia="zh-CN"/>
        </w:rPr>
        <w:t>即为完成本项目相关全部工作的价格（包含但不限于人工费、</w:t>
      </w:r>
      <w:r>
        <w:rPr>
          <w:rFonts w:hint="eastAsia" w:hAnsi="仿宋" w:cs="仿宋"/>
          <w:color w:val="auto"/>
          <w:sz w:val="24"/>
          <w:szCs w:val="24"/>
          <w:highlight w:val="none"/>
          <w:u w:val="single"/>
          <w:lang w:val="en-US" w:eastAsia="zh-CN"/>
        </w:rPr>
        <w:t>机械费、</w:t>
      </w:r>
      <w:r>
        <w:rPr>
          <w:rFonts w:hint="eastAsia" w:ascii="仿宋" w:hAnsi="仿宋" w:eastAsia="仿宋" w:cs="仿宋"/>
          <w:color w:val="auto"/>
          <w:sz w:val="24"/>
          <w:szCs w:val="24"/>
          <w:highlight w:val="none"/>
          <w:u w:val="single"/>
          <w:lang w:val="en-US" w:eastAsia="zh-CN"/>
        </w:rPr>
        <w:t>制作、维修人工费、税费、卸车费等一切费用</w:t>
      </w:r>
      <w:r>
        <w:rPr>
          <w:rFonts w:hint="eastAsia" w:hAnsi="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lang w:val="en-US" w:eastAsia="zh-CN"/>
        </w:rPr>
        <w:t>报价若有遗漏，均应免费提供）</w:t>
      </w:r>
    </w:p>
    <w:p w14:paraId="1EE01372">
      <w:pPr>
        <w:pStyle w:val="6"/>
        <w:ind w:firstLine="480" w:firstLineChars="200"/>
        <w:rPr>
          <w:rFonts w:hint="eastAsia" w:ascii="仿宋" w:hAnsi="仿宋" w:cs="仿宋"/>
          <w:color w:val="auto"/>
          <w:sz w:val="24"/>
          <w:szCs w:val="24"/>
          <w:highlight w:val="none"/>
          <w:u w:val="single"/>
          <w:lang w:val="en-US" w:eastAsia="zh-CN"/>
        </w:rPr>
      </w:pPr>
      <w:r>
        <w:rPr>
          <w:rFonts w:hint="eastAsia" w:ascii="仿宋" w:hAnsi="仿宋" w:cs="仿宋"/>
          <w:color w:val="auto"/>
          <w:sz w:val="24"/>
          <w:szCs w:val="24"/>
          <w:highlight w:val="none"/>
          <w:u w:val="none"/>
          <w:lang w:val="en-US" w:eastAsia="zh-CN"/>
        </w:rPr>
        <w:t>工期：</w:t>
      </w:r>
      <w:r>
        <w:rPr>
          <w:rFonts w:hint="eastAsia" w:ascii="仿宋" w:hAnsi="仿宋" w:cs="仿宋"/>
          <w:color w:val="auto"/>
          <w:sz w:val="24"/>
          <w:szCs w:val="24"/>
          <w:highlight w:val="none"/>
          <w:u w:val="single"/>
          <w:lang w:val="en-US" w:eastAsia="zh-CN"/>
        </w:rPr>
        <w:t>合同签订后5个月租赁期（以行政主管部门批准使用之日起，甲方通知拆除之日止，最终以实际使用工期为准）。</w:t>
      </w:r>
    </w:p>
    <w:p w14:paraId="2785683A">
      <w:pPr>
        <w:spacing w:line="480" w:lineRule="auto"/>
        <w:ind w:firstLine="480" w:firstLineChars="200"/>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本租金及进出场费包含但不限于施工升降机的租金（包括司机、司索工的工资、加班费）、进出场费（包含进出场运费、安装、拆卸、顶升、附着、检测验收费用）、利润、管理费及税金等。</w:t>
      </w:r>
    </w:p>
    <w:p w14:paraId="7A8C7739">
      <w:pPr>
        <w:spacing w:line="480" w:lineRule="auto"/>
        <w:ind w:firstLine="480" w:firstLineChars="200"/>
        <w:rPr>
          <w:rFonts w:hint="default" w:ascii="仿宋" w:hAnsi="仿宋" w:cs="仿宋"/>
          <w:color w:val="auto"/>
          <w:sz w:val="24"/>
          <w:szCs w:val="24"/>
          <w:highlight w:val="yellow"/>
          <w:u w:val="single"/>
          <w:lang w:val="en-US" w:eastAsia="zh-CN"/>
        </w:rPr>
      </w:pPr>
      <w:r>
        <w:rPr>
          <w:rFonts w:hint="eastAsia" w:ascii="宋体" w:hAnsi="宋体" w:cs="宋体"/>
          <w:sz w:val="24"/>
          <w:szCs w:val="24"/>
          <w:highlight w:val="none"/>
          <w:u w:val="none"/>
          <w:lang w:val="en-US" w:eastAsia="zh-CN"/>
        </w:rPr>
        <w:t>司机的上班时间为上午</w:t>
      </w:r>
      <w:r>
        <w:rPr>
          <w:rFonts w:hint="eastAsia" w:ascii="仿宋" w:hAnsi="仿宋" w:eastAsia="仿宋" w:cs="仿宋"/>
          <w:sz w:val="24"/>
          <w:szCs w:val="24"/>
          <w:highlight w:val="none"/>
          <w:u w:val="none"/>
          <w:lang w:val="en-US" w:eastAsia="zh-CN"/>
        </w:rPr>
        <w:t>7：00-11：30</w:t>
      </w:r>
      <w:r>
        <w:rPr>
          <w:rFonts w:hint="eastAsia" w:ascii="宋体" w:hAnsi="宋体" w:cs="宋体"/>
          <w:sz w:val="24"/>
          <w:szCs w:val="24"/>
          <w:highlight w:val="none"/>
          <w:u w:val="none"/>
          <w:lang w:val="en-US" w:eastAsia="zh-CN"/>
        </w:rPr>
        <w:t xml:space="preserve"> 下午</w:t>
      </w:r>
      <w:r>
        <w:rPr>
          <w:rFonts w:hint="eastAsia" w:ascii="仿宋" w:hAnsi="仿宋" w:eastAsia="仿宋" w:cs="仿宋"/>
          <w:sz w:val="24"/>
          <w:szCs w:val="24"/>
          <w:highlight w:val="none"/>
          <w:u w:val="none"/>
          <w:lang w:val="en-US" w:eastAsia="zh-CN"/>
        </w:rPr>
        <w:t>13：30-18：00</w:t>
      </w:r>
      <w:r>
        <w:rPr>
          <w:rFonts w:hint="eastAsia" w:ascii="宋体" w:hAnsi="宋体" w:cs="宋体"/>
          <w:sz w:val="24"/>
          <w:szCs w:val="24"/>
          <w:highlight w:val="none"/>
          <w:u w:val="none"/>
          <w:lang w:val="en-US" w:eastAsia="zh-CN"/>
        </w:rPr>
        <w:t>。【一天按照9小时计算，根据实际情况实时调整】</w:t>
      </w:r>
    </w:p>
    <w:p w14:paraId="495DB648">
      <w:pPr>
        <w:pStyle w:val="6"/>
        <w:snapToGrid/>
        <w:spacing w:after="0" w:afterAutospacing="0" w:line="360" w:lineRule="auto"/>
        <w:ind w:firstLine="482" w:firstLineChars="200"/>
        <w:rPr>
          <w:rFonts w:hint="eastAsia" w:ascii="仿宋" w:hAnsi="仿宋" w:cs="仿宋"/>
          <w:b/>
          <w:bCs/>
          <w:color w:val="auto"/>
          <w:sz w:val="24"/>
          <w:szCs w:val="24"/>
          <w:highlight w:val="none"/>
          <w:u w:val="none"/>
          <w:lang w:val="en-US" w:eastAsia="zh-CN"/>
        </w:rPr>
      </w:pPr>
      <w:r>
        <w:rPr>
          <w:rFonts w:hint="eastAsia" w:ascii="仿宋" w:hAnsi="仿宋" w:cs="仿宋"/>
          <w:b/>
          <w:bCs/>
          <w:color w:val="auto"/>
          <w:sz w:val="24"/>
          <w:szCs w:val="24"/>
          <w:highlight w:val="none"/>
          <w:u w:val="none"/>
          <w:lang w:val="en-US" w:eastAsia="zh-CN"/>
        </w:rPr>
        <w:t>付款方式：次月15日前凭中标人提供的合法税务发票支付上月的租金费用；</w:t>
      </w:r>
    </w:p>
    <w:p w14:paraId="35CF05FB">
      <w:pPr>
        <w:pStyle w:val="6"/>
        <w:snapToGrid/>
        <w:spacing w:after="0" w:afterAutospacing="0" w:line="360" w:lineRule="auto"/>
        <w:ind w:firstLine="482" w:firstLineChars="200"/>
        <w:rPr>
          <w:rFonts w:hint="eastAsia" w:ascii="仿宋" w:hAnsi="仿宋" w:cs="仿宋"/>
          <w:b/>
          <w:bCs/>
          <w:color w:val="auto"/>
          <w:sz w:val="24"/>
          <w:szCs w:val="24"/>
          <w:highlight w:val="none"/>
          <w:u w:val="none"/>
          <w:lang w:val="en-US" w:eastAsia="zh-CN"/>
        </w:rPr>
      </w:pPr>
      <w:r>
        <w:rPr>
          <w:rFonts w:hint="eastAsia" w:ascii="仿宋" w:hAnsi="仿宋" w:cs="仿宋"/>
          <w:b/>
          <w:bCs/>
          <w:color w:val="auto"/>
          <w:sz w:val="24"/>
          <w:szCs w:val="24"/>
          <w:highlight w:val="none"/>
          <w:u w:val="none"/>
          <w:lang w:val="en-US" w:eastAsia="zh-CN"/>
        </w:rPr>
        <w:t>进出场费：设备安装调试完成，经第三方检测合格后并办理完成使用登记，招标人拨付进出场费的60%，剩余40%待投标人完成全部工作并结束退场后付清。安装及拆卸的汽车吊台班费用均由投标人自行承担。</w:t>
      </w:r>
    </w:p>
    <w:p w14:paraId="28A84B66">
      <w:pPr>
        <w:pStyle w:val="6"/>
        <w:snapToGrid/>
        <w:spacing w:after="0" w:afterAutospacing="0" w:line="360" w:lineRule="auto"/>
        <w:ind w:firstLine="482" w:firstLineChars="200"/>
        <w:rPr>
          <w:rFonts w:hint="eastAsia" w:ascii="仿宋" w:hAnsi="仿宋" w:cs="仿宋"/>
          <w:b/>
          <w:bCs/>
          <w:color w:val="auto"/>
          <w:sz w:val="24"/>
          <w:szCs w:val="24"/>
          <w:highlight w:val="none"/>
          <w:u w:val="single"/>
          <w:lang w:eastAsia="zh-CN"/>
        </w:rPr>
      </w:pPr>
      <w:r>
        <w:rPr>
          <w:rFonts w:hint="eastAsia" w:ascii="仿宋" w:hAnsi="仿宋" w:cs="仿宋"/>
          <w:b/>
          <w:bCs/>
          <w:color w:val="auto"/>
          <w:sz w:val="24"/>
          <w:szCs w:val="24"/>
          <w:highlight w:val="none"/>
          <w:u w:val="none"/>
          <w:lang w:val="en-US" w:eastAsia="zh-CN"/>
        </w:rPr>
        <w:t>如因投标人原因致使使用登记未顺利办理导致招标人受主管部门处罚，由投标人承担全部损失，并处以5000元/次违约金（从履约保证金中扣除）。</w:t>
      </w:r>
    </w:p>
    <w:p w14:paraId="423DE21F">
      <w:pPr>
        <w:pStyle w:val="6"/>
        <w:snapToGrid/>
        <w:spacing w:after="0" w:afterAutospacing="0" w:line="360" w:lineRule="auto"/>
        <w:ind w:firstLine="482" w:firstLineChars="200"/>
        <w:rPr>
          <w:rFonts w:hint="eastAsia" w:ascii="仿宋" w:hAnsi="仿宋" w:cs="仿宋"/>
          <w:b/>
          <w:bCs/>
          <w:color w:val="auto"/>
          <w:sz w:val="24"/>
          <w:szCs w:val="24"/>
          <w:highlight w:val="none"/>
          <w:u w:val="none"/>
          <w:lang w:val="en-US" w:eastAsia="zh-CN"/>
        </w:rPr>
      </w:pPr>
      <w:r>
        <w:rPr>
          <w:rFonts w:hint="eastAsia" w:ascii="仿宋" w:hAnsi="仿宋" w:cs="仿宋"/>
          <w:b/>
          <w:bCs/>
          <w:color w:val="auto"/>
          <w:sz w:val="24"/>
          <w:szCs w:val="24"/>
          <w:highlight w:val="none"/>
          <w:u w:val="none"/>
          <w:lang w:val="en-US" w:eastAsia="zh-CN"/>
        </w:rPr>
        <w:t>履约保证金：合同金额的5%（合同签订前递交，中标人完成全部工作后无息退还）。</w:t>
      </w:r>
    </w:p>
    <w:p w14:paraId="6371FE9B">
      <w:pPr>
        <w:pStyle w:val="6"/>
        <w:snapToGrid/>
        <w:spacing w:after="0" w:afterAutospacing="0" w:line="360" w:lineRule="auto"/>
        <w:ind w:firstLine="482" w:firstLineChars="200"/>
        <w:rPr>
          <w:rFonts w:hint="eastAsia" w:hAnsi="仿宋" w:cs="仿宋"/>
          <w:b/>
          <w:bCs/>
          <w:kern w:val="2"/>
          <w:sz w:val="24"/>
          <w:szCs w:val="24"/>
          <w:highlight w:val="none"/>
          <w:lang w:val="en-US" w:eastAsia="zh-CN" w:bidi="ar-SA"/>
        </w:rPr>
      </w:pPr>
      <w:r>
        <w:rPr>
          <w:rFonts w:hint="eastAsia" w:hAnsi="仿宋" w:cs="仿宋"/>
          <w:b/>
          <w:bCs/>
          <w:kern w:val="2"/>
          <w:sz w:val="24"/>
          <w:szCs w:val="24"/>
          <w:highlight w:val="none"/>
          <w:lang w:val="en-US" w:eastAsia="zh-CN" w:bidi="ar-SA"/>
        </w:rPr>
        <w:t>投标人报价时不得超过控制单价，也不得超过控制总价。</w:t>
      </w:r>
    </w:p>
    <w:p w14:paraId="76EEBB07">
      <w:pPr>
        <w:pStyle w:val="6"/>
        <w:snapToGrid/>
        <w:spacing w:after="0" w:afterAutospacing="0" w:line="360" w:lineRule="auto"/>
        <w:ind w:firstLine="482" w:firstLineChars="200"/>
        <w:rPr>
          <w:rFonts w:hint="default" w:hAnsi="仿宋" w:cs="仿宋"/>
          <w:b/>
          <w:bCs/>
          <w:kern w:val="2"/>
          <w:sz w:val="24"/>
          <w:szCs w:val="24"/>
          <w:highlight w:val="none"/>
          <w:lang w:val="en-US" w:eastAsia="zh-CN" w:bidi="ar-SA"/>
        </w:rPr>
      </w:pPr>
      <w:r>
        <w:rPr>
          <w:rFonts w:hint="eastAsia" w:hAnsi="仿宋" w:cs="仿宋"/>
          <w:b/>
          <w:bCs/>
          <w:kern w:val="2"/>
          <w:sz w:val="24"/>
          <w:szCs w:val="24"/>
          <w:highlight w:val="none"/>
          <w:lang w:val="en-US" w:eastAsia="zh-CN" w:bidi="ar-SA"/>
        </w:rPr>
        <w:t>投标人配备的司机特殊工种人员证书持证率</w:t>
      </w:r>
      <w:r>
        <w:rPr>
          <w:rFonts w:hint="eastAsia" w:ascii="仿宋" w:hAnsi="仿宋" w:eastAsia="仿宋" w:cs="仿宋"/>
          <w:b/>
          <w:bCs/>
          <w:kern w:val="2"/>
          <w:sz w:val="24"/>
          <w:szCs w:val="24"/>
          <w:highlight w:val="none"/>
          <w:lang w:val="en-US" w:eastAsia="zh-CN" w:bidi="ar-SA"/>
        </w:rPr>
        <w:t>100%</w:t>
      </w:r>
      <w:r>
        <w:rPr>
          <w:rFonts w:hint="eastAsia" w:ascii="仿宋" w:hAnsi="仿宋" w:cs="仿宋"/>
          <w:b/>
          <w:bCs/>
          <w:kern w:val="2"/>
          <w:sz w:val="24"/>
          <w:szCs w:val="24"/>
          <w:highlight w:val="none"/>
          <w:lang w:val="en-US" w:eastAsia="zh-CN" w:bidi="ar-SA"/>
        </w:rPr>
        <w:t>，</w:t>
      </w:r>
      <w:r>
        <w:rPr>
          <w:rFonts w:hint="eastAsia" w:ascii="仿宋" w:hAnsi="仿宋" w:eastAsia="仿宋" w:cs="仿宋"/>
          <w:b/>
          <w:bCs/>
          <w:color w:val="auto"/>
          <w:sz w:val="24"/>
          <w:szCs w:val="24"/>
          <w:highlight w:val="none"/>
          <w:u w:val="none"/>
          <w:lang w:val="en-US" w:eastAsia="zh-CN"/>
        </w:rPr>
        <w:t>司机上班时间为每天9小时，接到招标人通知后，需在半小时内到岗，超时未到岗，按照100元/小时处罚；如因招标人原因需要加班，按照30元/小时计算</w:t>
      </w:r>
      <w:r>
        <w:rPr>
          <w:rFonts w:hint="eastAsia" w:ascii="仿宋" w:hAnsi="仿宋" w:cs="仿宋"/>
          <w:b/>
          <w:bCs/>
          <w:color w:val="auto"/>
          <w:sz w:val="24"/>
          <w:szCs w:val="24"/>
          <w:highlight w:val="none"/>
          <w:u w:val="none"/>
          <w:lang w:val="en-US" w:eastAsia="zh-CN"/>
        </w:rPr>
        <w:t>。</w:t>
      </w:r>
    </w:p>
    <w:p w14:paraId="0EA824AF">
      <w:pPr>
        <w:spacing w:beforeAutospacing="0" w:line="560" w:lineRule="exact"/>
        <w:ind w:firstLine="482" w:firstLineChars="200"/>
        <w:rPr>
          <w:rFonts w:hint="eastAsia" w:ascii="仿宋" w:hAnsi="仿宋" w:eastAsia="仿宋" w:cs="仿宋"/>
          <w:b/>
          <w:bCs/>
          <w:color w:val="auto"/>
          <w:sz w:val="24"/>
          <w:szCs w:val="24"/>
          <w:highlight w:val="none"/>
          <w:u w:val="none"/>
          <w:lang w:val="zh-CN"/>
        </w:rPr>
      </w:pPr>
      <w:r>
        <w:rPr>
          <w:rFonts w:hint="eastAsia" w:hAnsi="仿宋" w:cs="仿宋"/>
          <w:b/>
          <w:bCs/>
          <w:color w:val="auto"/>
          <w:sz w:val="24"/>
          <w:szCs w:val="24"/>
          <w:highlight w:val="none"/>
          <w:u w:val="none"/>
          <w:lang w:val="en-US" w:eastAsia="zh-CN"/>
        </w:rPr>
        <w:t>3、</w:t>
      </w:r>
      <w:r>
        <w:rPr>
          <w:rFonts w:hint="eastAsia" w:ascii="仿宋" w:hAnsi="仿宋" w:eastAsia="仿宋" w:cs="仿宋"/>
          <w:b/>
          <w:bCs/>
          <w:color w:val="auto"/>
          <w:sz w:val="24"/>
          <w:szCs w:val="24"/>
          <w:highlight w:val="none"/>
          <w:u w:val="none"/>
          <w:lang w:val="en-US" w:eastAsia="zh-CN"/>
        </w:rPr>
        <w:t>验  收：</w:t>
      </w:r>
    </w:p>
    <w:p w14:paraId="4A724A68">
      <w:pPr>
        <w:spacing w:beforeAutospacing="0" w:line="56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① 符合相关行业标准。</w:t>
      </w:r>
    </w:p>
    <w:p w14:paraId="51051ADC">
      <w:pPr>
        <w:spacing w:beforeAutospacing="0" w:line="56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② 符合竞谈文件和采购人认可的合理最佳配置、参数及各项要求。</w:t>
      </w:r>
    </w:p>
    <w:p w14:paraId="708F6B3D">
      <w:pPr>
        <w:spacing w:beforeAutospacing="0" w:line="56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hAnsi="仿宋" w:cs="仿宋"/>
          <w:b w:val="0"/>
          <w:bCs w:val="0"/>
          <w:color w:val="auto"/>
          <w:sz w:val="24"/>
          <w:szCs w:val="24"/>
          <w:highlight w:val="none"/>
          <w:u w:val="none"/>
          <w:lang w:val="en-US" w:eastAsia="zh-CN"/>
        </w:rPr>
        <w:t xml:space="preserve">③ </w:t>
      </w:r>
      <w:r>
        <w:rPr>
          <w:rFonts w:hint="eastAsia" w:ascii="仿宋" w:hAnsi="仿宋" w:eastAsia="仿宋" w:cs="仿宋"/>
          <w:b w:val="0"/>
          <w:bCs w:val="0"/>
          <w:color w:val="auto"/>
          <w:sz w:val="24"/>
          <w:szCs w:val="24"/>
          <w:highlight w:val="none"/>
          <w:u w:val="none"/>
          <w:lang w:val="en-US" w:eastAsia="zh-CN"/>
        </w:rPr>
        <w:t>中标</w:t>
      </w:r>
      <w:r>
        <w:rPr>
          <w:rFonts w:hint="eastAsia" w:hAnsi="仿宋" w:cs="仿宋"/>
          <w:b w:val="0"/>
          <w:bCs w:val="0"/>
          <w:color w:val="auto"/>
          <w:sz w:val="24"/>
          <w:szCs w:val="24"/>
          <w:highlight w:val="none"/>
          <w:u w:val="none"/>
          <w:lang w:val="en-US" w:eastAsia="zh-CN"/>
        </w:rPr>
        <w:t>人</w:t>
      </w:r>
      <w:r>
        <w:rPr>
          <w:rFonts w:hint="eastAsia" w:ascii="仿宋" w:hAnsi="仿宋" w:eastAsia="仿宋" w:cs="仿宋"/>
          <w:b w:val="0"/>
          <w:bCs w:val="0"/>
          <w:color w:val="auto"/>
          <w:sz w:val="24"/>
          <w:szCs w:val="24"/>
          <w:highlight w:val="none"/>
          <w:u w:val="none"/>
          <w:lang w:val="en-US" w:eastAsia="zh-CN"/>
        </w:rPr>
        <w:t>向招标人移交机械时，双方应就交付机械的型号、规格、附件、数量权属、证照、性能等共同进行验收并签署《交接清单》和《进场检验单》。</w:t>
      </w:r>
    </w:p>
    <w:p w14:paraId="0DF70CF8">
      <w:pPr>
        <w:spacing w:beforeAutospacing="0" w:line="56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法律法规规定必须安装调试并检测合格才能投入使用的或者合同约定由中标</w:t>
      </w:r>
      <w:r>
        <w:rPr>
          <w:rFonts w:hint="eastAsia" w:hAnsi="仿宋" w:cs="仿宋"/>
          <w:b w:val="0"/>
          <w:bCs w:val="0"/>
          <w:color w:val="auto"/>
          <w:sz w:val="24"/>
          <w:szCs w:val="24"/>
          <w:highlight w:val="none"/>
          <w:u w:val="none"/>
          <w:lang w:val="en-US" w:eastAsia="zh-CN"/>
        </w:rPr>
        <w:t>人</w:t>
      </w:r>
      <w:r>
        <w:rPr>
          <w:rFonts w:hint="eastAsia" w:ascii="仿宋" w:hAnsi="仿宋" w:eastAsia="仿宋" w:cs="仿宋"/>
          <w:b w:val="0"/>
          <w:bCs w:val="0"/>
          <w:color w:val="auto"/>
          <w:sz w:val="24"/>
          <w:szCs w:val="24"/>
          <w:highlight w:val="none"/>
          <w:u w:val="none"/>
          <w:lang w:val="en-US" w:eastAsia="zh-CN"/>
        </w:rPr>
        <w:t>现场安装调试合格后或第三方检测后才能投入使用的机械，安装调试合格之日或检测合格之日视为中标</w:t>
      </w:r>
      <w:r>
        <w:rPr>
          <w:rFonts w:hint="eastAsia" w:hAnsi="仿宋" w:cs="仿宋"/>
          <w:b w:val="0"/>
          <w:bCs w:val="0"/>
          <w:color w:val="auto"/>
          <w:sz w:val="24"/>
          <w:szCs w:val="24"/>
          <w:highlight w:val="none"/>
          <w:u w:val="none"/>
          <w:lang w:val="en-US" w:eastAsia="zh-CN"/>
        </w:rPr>
        <w:t>人</w:t>
      </w:r>
      <w:r>
        <w:rPr>
          <w:rFonts w:hint="eastAsia" w:ascii="仿宋" w:hAnsi="仿宋" w:eastAsia="仿宋" w:cs="仿宋"/>
          <w:b w:val="0"/>
          <w:bCs w:val="0"/>
          <w:color w:val="auto"/>
          <w:sz w:val="24"/>
          <w:szCs w:val="24"/>
          <w:highlight w:val="none"/>
          <w:u w:val="none"/>
          <w:lang w:val="en-US" w:eastAsia="zh-CN"/>
        </w:rPr>
        <w:t>向招标人移交机械日期。</w:t>
      </w:r>
    </w:p>
    <w:p w14:paraId="553456F6">
      <w:pPr>
        <w:spacing w:beforeAutospacing="0" w:line="560" w:lineRule="exact"/>
        <w:ind w:firstLine="482" w:firstLineChars="200"/>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法律法规规定必须由具备相应资质的安装施工企业承担安装而中标方不具备上述资质的，或者规定需要第三方检测的，由中标</w:t>
      </w:r>
      <w:r>
        <w:rPr>
          <w:rFonts w:hint="eastAsia" w:hAnsi="仿宋" w:cs="仿宋"/>
          <w:b/>
          <w:bCs/>
          <w:color w:val="auto"/>
          <w:sz w:val="24"/>
          <w:szCs w:val="24"/>
          <w:highlight w:val="none"/>
          <w:u w:val="none"/>
          <w:lang w:val="en-US" w:eastAsia="zh-CN"/>
        </w:rPr>
        <w:t>人</w:t>
      </w:r>
      <w:r>
        <w:rPr>
          <w:rFonts w:hint="eastAsia" w:ascii="仿宋" w:hAnsi="仿宋" w:eastAsia="仿宋" w:cs="仿宋"/>
          <w:b/>
          <w:bCs/>
          <w:color w:val="auto"/>
          <w:sz w:val="24"/>
          <w:szCs w:val="24"/>
          <w:highlight w:val="none"/>
          <w:u w:val="none"/>
          <w:lang w:val="en-US" w:eastAsia="zh-CN"/>
        </w:rPr>
        <w:t>自负费用委托具备相应资质的第三方安装或检测。</w:t>
      </w:r>
    </w:p>
    <w:p w14:paraId="1693238F">
      <w:pPr>
        <w:spacing w:beforeAutospacing="0" w:line="56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hAnsi="仿宋" w:cs="仿宋"/>
          <w:b w:val="0"/>
          <w:bCs w:val="0"/>
          <w:color w:val="auto"/>
          <w:sz w:val="24"/>
          <w:szCs w:val="24"/>
          <w:highlight w:val="none"/>
          <w:u w:val="none"/>
          <w:lang w:val="en-US" w:eastAsia="zh-CN"/>
        </w:rPr>
        <w:t xml:space="preserve">④ </w:t>
      </w:r>
      <w:r>
        <w:rPr>
          <w:rFonts w:hint="eastAsia" w:ascii="仿宋" w:hAnsi="仿宋" w:eastAsia="仿宋" w:cs="仿宋"/>
          <w:b w:val="0"/>
          <w:bCs w:val="0"/>
          <w:color w:val="auto"/>
          <w:sz w:val="24"/>
          <w:szCs w:val="24"/>
          <w:highlight w:val="none"/>
          <w:u w:val="none"/>
          <w:lang w:val="en-US" w:eastAsia="zh-CN"/>
        </w:rPr>
        <w:t>招标人应当按照合同约定的时间、地点向中标</w:t>
      </w:r>
      <w:r>
        <w:rPr>
          <w:rFonts w:hint="eastAsia" w:hAnsi="仿宋" w:cs="仿宋"/>
          <w:b w:val="0"/>
          <w:bCs w:val="0"/>
          <w:color w:val="auto"/>
          <w:sz w:val="24"/>
          <w:szCs w:val="24"/>
          <w:highlight w:val="none"/>
          <w:u w:val="none"/>
          <w:lang w:val="en-US" w:eastAsia="zh-CN"/>
        </w:rPr>
        <w:t>人</w:t>
      </w:r>
      <w:r>
        <w:rPr>
          <w:rFonts w:hint="eastAsia" w:ascii="仿宋" w:hAnsi="仿宋" w:eastAsia="仿宋" w:cs="仿宋"/>
          <w:b w:val="0"/>
          <w:bCs w:val="0"/>
          <w:color w:val="auto"/>
          <w:sz w:val="24"/>
          <w:szCs w:val="24"/>
          <w:highlight w:val="none"/>
          <w:u w:val="none"/>
          <w:lang w:val="en-US" w:eastAsia="zh-CN"/>
        </w:rPr>
        <w:t>交还机械，双方应就机械的型号、规格等共同验收并签署《交接清单》。</w:t>
      </w:r>
    </w:p>
    <w:p w14:paraId="60DCFA55">
      <w:pPr>
        <w:pStyle w:val="6"/>
        <w:spacing w:after="0" w:afterAutospacing="0"/>
        <w:ind w:firstLine="482" w:firstLineChars="200"/>
        <w:rPr>
          <w:rFonts w:hint="eastAsia" w:ascii="仿宋" w:hAnsi="仿宋" w:eastAsia="仿宋" w:cs="仿宋"/>
          <w:b/>
          <w:bCs/>
          <w:color w:val="auto"/>
          <w:sz w:val="24"/>
          <w:szCs w:val="24"/>
          <w:highlight w:val="none"/>
          <w:lang w:val="en-US" w:eastAsia="zh-CN"/>
        </w:rPr>
      </w:pPr>
      <w:r>
        <w:rPr>
          <w:rFonts w:hint="eastAsia" w:ascii="仿宋" w:hAnsi="仿宋" w:cs="仿宋"/>
          <w:b/>
          <w:bCs/>
          <w:color w:val="auto"/>
          <w:sz w:val="24"/>
          <w:szCs w:val="24"/>
          <w:highlight w:val="none"/>
          <w:u w:val="none"/>
          <w:lang w:val="en-US" w:eastAsia="zh-CN"/>
        </w:rPr>
        <w:t>4、</w:t>
      </w:r>
      <w:r>
        <w:rPr>
          <w:rFonts w:hint="eastAsia" w:ascii="仿宋" w:hAnsi="仿宋" w:eastAsia="仿宋" w:cs="仿宋"/>
          <w:b/>
          <w:bCs/>
          <w:color w:val="auto"/>
          <w:sz w:val="24"/>
          <w:szCs w:val="24"/>
          <w:highlight w:val="none"/>
          <w:lang w:val="en-US" w:eastAsia="zh-CN"/>
        </w:rPr>
        <w:t>售后服务</w:t>
      </w:r>
    </w:p>
    <w:p w14:paraId="52CD8A6B">
      <w:pPr>
        <w:pStyle w:val="6"/>
        <w:spacing w:after="0" w:afterAutospacing="0"/>
        <w:ind w:firstLine="480" w:firstLineChars="20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① 成交服务商须设有咨询服务电话，负责解答采购人在使用中遇到的问题，及时提出解决问题的建议和操作方法；</w:t>
      </w:r>
    </w:p>
    <w:p w14:paraId="53107C02">
      <w:pPr>
        <w:pStyle w:val="6"/>
        <w:spacing w:after="0" w:afterAutospacing="0"/>
        <w:ind w:firstLine="480" w:firstLineChars="20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②在服务期内，成交服务商应建立完备的故障响应机制，服务商应在2小时内电话响应， 4小时内上门维修，8小时内解决问题，否则采购人将自行采取必要的措施，由此产生风险和费用应由成交服务商承担。</w:t>
      </w:r>
    </w:p>
    <w:p w14:paraId="629B4917">
      <w:pPr>
        <w:pStyle w:val="6"/>
        <w:spacing w:after="0" w:afterAutospacing="0"/>
        <w:ind w:firstLine="480" w:firstLineChars="200"/>
        <w:rPr>
          <w:rFonts w:hint="default" w:ascii="仿宋" w:hAnsi="仿宋" w:eastAsia="仿宋" w:cs="仿宋"/>
          <w:b w:val="0"/>
          <w:bCs w:val="0"/>
          <w:color w:val="auto"/>
          <w:sz w:val="24"/>
          <w:szCs w:val="24"/>
          <w:highlight w:val="none"/>
          <w:lang w:val="en-US" w:eastAsia="zh-CN"/>
        </w:rPr>
      </w:pPr>
      <w:r>
        <w:rPr>
          <w:rFonts w:hint="eastAsia" w:ascii="仿宋" w:hAnsi="仿宋" w:cs="仿宋"/>
          <w:b w:val="0"/>
          <w:bCs w:val="0"/>
          <w:color w:val="auto"/>
          <w:sz w:val="24"/>
          <w:szCs w:val="24"/>
          <w:highlight w:val="none"/>
          <w:lang w:val="en-US" w:eastAsia="zh-CN"/>
        </w:rPr>
        <w:t>③</w:t>
      </w:r>
      <w:r>
        <w:rPr>
          <w:rFonts w:hint="default" w:ascii="仿宋" w:hAnsi="仿宋" w:eastAsia="仿宋" w:cs="仿宋"/>
          <w:b w:val="0"/>
          <w:bCs w:val="0"/>
          <w:color w:val="auto"/>
          <w:sz w:val="24"/>
          <w:szCs w:val="24"/>
          <w:highlight w:val="none"/>
          <w:lang w:val="en-US" w:eastAsia="zh-CN"/>
        </w:rPr>
        <w:t>、提供虚假材料谋取中标、恶意低价中标，成交后无正当理由不与招标人签订合同的、将中标项目转让给他人，未经招标人同意擅自将成交项目分包给他人的、拒绝履行合同义务的，以及中标后在项目实施过程中未按照竞谈文件技术要求和竞谈响应文件响应要求执行的,一经查实,由财政部门将其列入不良行为记录名单,在三年内禁止参加政府采购活动,并予以通报；情节严重的,由工商行政管理机关吊销营业执照；构成犯罪的,依法追究刑事责任。</w:t>
      </w:r>
    </w:p>
    <w:p w14:paraId="3E7575F9">
      <w:pPr>
        <w:spacing w:beforeAutospacing="0" w:afterAutospacing="0" w:line="560" w:lineRule="exact"/>
        <w:ind w:firstLine="482" w:firstLineChars="200"/>
        <w:rPr>
          <w:rFonts w:hint="eastAsia"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val="en-US" w:eastAsia="zh-CN"/>
        </w:rPr>
        <w:t>现场踏勘</w:t>
      </w:r>
    </w:p>
    <w:p w14:paraId="45E2F5DB">
      <w:pPr>
        <w:spacing w:beforeAutospacing="0" w:afterAutospacing="0" w:line="56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招标人不组织踏勘现场，投标人应自行安排时间进行实地考察。投标人踏勘现场的费用自理，为投标报价取得依据。一旦成交，不得以不了解现场情况为理由而提出额外费用，采购单位将不予考虑。在现场考察过程中，响应服务商如果发生人身伤亡、财</w:t>
      </w:r>
      <w:r>
        <w:rPr>
          <w:rFonts w:hint="eastAsia" w:hAnsi="仿宋" w:cs="仿宋"/>
          <w:color w:val="auto"/>
          <w:sz w:val="24"/>
          <w:szCs w:val="24"/>
          <w:highlight w:val="none"/>
          <w:lang w:val="en-US" w:eastAsia="zh-CN"/>
        </w:rPr>
        <w:t>物</w:t>
      </w:r>
      <w:r>
        <w:rPr>
          <w:rFonts w:hint="eastAsia" w:ascii="仿宋" w:hAnsi="仿宋" w:eastAsia="仿宋" w:cs="仿宋"/>
          <w:color w:val="auto"/>
          <w:sz w:val="24"/>
          <w:szCs w:val="24"/>
          <w:highlight w:val="none"/>
          <w:lang w:val="en-US" w:eastAsia="zh-CN"/>
        </w:rPr>
        <w:t>或其它损失，不论何种原因造成，均由投标人自负。</w:t>
      </w:r>
    </w:p>
    <w:p w14:paraId="0DE7918E">
      <w:pPr>
        <w:pStyle w:val="3"/>
        <w:spacing w:before="0" w:beforeAutospacing="0" w:after="0" w:afterAutospacing="0" w:line="560" w:lineRule="exact"/>
        <w:rPr>
          <w:rFonts w:hint="eastAsia" w:ascii="仿宋" w:hAnsi="仿宋" w:eastAsia="仿宋" w:cs="仿宋"/>
          <w:b/>
          <w:bCs/>
          <w:color w:val="auto"/>
          <w:sz w:val="24"/>
          <w:szCs w:val="24"/>
          <w:highlight w:val="none"/>
        </w:rPr>
      </w:pPr>
      <w:r>
        <w:rPr>
          <w:rFonts w:hint="eastAsia" w:hAnsi="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、投标文件的编制</w:t>
      </w:r>
      <w:bookmarkEnd w:id="24"/>
      <w:bookmarkEnd w:id="25"/>
    </w:p>
    <w:p w14:paraId="433B86FC">
      <w:pPr>
        <w:spacing w:beforeAutospacing="0"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1、投标文件的构成</w:t>
      </w:r>
    </w:p>
    <w:p w14:paraId="44287A36">
      <w:pPr>
        <w:spacing w:line="56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报价</w:t>
      </w:r>
      <w:r>
        <w:rPr>
          <w:rFonts w:hint="eastAsia" w:ascii="仿宋" w:hAnsi="仿宋" w:eastAsia="仿宋" w:cs="仿宋"/>
          <w:color w:val="auto"/>
          <w:sz w:val="24"/>
          <w:szCs w:val="24"/>
          <w:highlight w:val="none"/>
          <w:lang w:val="en-US" w:eastAsia="zh-CN"/>
        </w:rPr>
        <w:t>单</w:t>
      </w:r>
    </w:p>
    <w:p w14:paraId="14DFA308">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hAnsi="仿宋" w:cs="仿宋"/>
          <w:color w:val="auto"/>
          <w:sz w:val="24"/>
          <w:szCs w:val="24"/>
          <w:highlight w:val="none"/>
          <w:lang w:val="en-US" w:eastAsia="zh-CN"/>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应当提交的资格、资信证明文件</w:t>
      </w:r>
    </w:p>
    <w:p w14:paraId="68B59A56">
      <w:pPr>
        <w:spacing w:line="560" w:lineRule="exact"/>
        <w:rPr>
          <w:rFonts w:hint="eastAsia" w:ascii="仿宋" w:hAnsi="仿宋" w:eastAsia="仿宋" w:cs="仿宋"/>
          <w:b/>
          <w:bCs/>
          <w:color w:val="auto"/>
          <w:kern w:val="2"/>
          <w:sz w:val="24"/>
          <w:szCs w:val="24"/>
          <w:highlight w:val="none"/>
          <w:lang w:val="en-US" w:eastAsia="zh-CN" w:bidi="ar-SA"/>
        </w:rPr>
      </w:pPr>
      <w:bookmarkStart w:id="26" w:name="_Toc123712558"/>
      <w:bookmarkStart w:id="27" w:name="_Toc126132851"/>
      <w:bookmarkStart w:id="28" w:name="_Toc30786"/>
      <w:bookmarkStart w:id="29" w:name="_Toc501638126"/>
      <w:r>
        <w:rPr>
          <w:rFonts w:hint="eastAsia" w:hAnsi="仿宋" w:cs="仿宋"/>
          <w:b/>
          <w:bCs/>
          <w:color w:val="auto"/>
          <w:kern w:val="2"/>
          <w:sz w:val="24"/>
          <w:szCs w:val="24"/>
          <w:highlight w:val="none"/>
          <w:lang w:val="en-US" w:eastAsia="zh-CN" w:bidi="ar-SA"/>
        </w:rPr>
        <w:t>四</w:t>
      </w:r>
      <w:r>
        <w:rPr>
          <w:rFonts w:hint="eastAsia" w:ascii="仿宋" w:hAnsi="仿宋" w:eastAsia="仿宋" w:cs="仿宋"/>
          <w:b/>
          <w:bCs/>
          <w:color w:val="auto"/>
          <w:kern w:val="2"/>
          <w:sz w:val="24"/>
          <w:szCs w:val="24"/>
          <w:highlight w:val="none"/>
          <w:lang w:val="en-US" w:eastAsia="zh-CN" w:bidi="ar-SA"/>
        </w:rPr>
        <w:t>、投标文件的递交</w:t>
      </w:r>
      <w:bookmarkEnd w:id="26"/>
      <w:bookmarkEnd w:id="27"/>
      <w:bookmarkEnd w:id="28"/>
      <w:bookmarkEnd w:id="29"/>
    </w:p>
    <w:p w14:paraId="1F6D4546">
      <w:pPr>
        <w:spacing w:line="56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应将</w:t>
      </w:r>
      <w:r>
        <w:rPr>
          <w:rFonts w:hint="eastAsia" w:hAnsi="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rPr>
        <w:t>文件密封装在档案袋中，封口处有投标单位公章。</w:t>
      </w:r>
    </w:p>
    <w:p w14:paraId="1CDAF633">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未按上述要求密封及加写标记，采购人对投标文件的误投和提前启封概不负责。</w:t>
      </w:r>
    </w:p>
    <w:p w14:paraId="02E295FE">
      <w:p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1、投标截止时间</w:t>
      </w:r>
    </w:p>
    <w:p w14:paraId="24545BF7">
      <w:pPr>
        <w:spacing w:line="56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必须在“ 采购公告”规定的截止时间前，将投标文件密封送达指定地点。</w:t>
      </w:r>
    </w:p>
    <w:p w14:paraId="196E0B3D">
      <w:pPr>
        <w:numPr>
          <w:ilvl w:val="0"/>
          <w:numId w:val="0"/>
        </w:num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迟交的报价文件</w:t>
      </w:r>
    </w:p>
    <w:p w14:paraId="0A57258B">
      <w:pPr>
        <w:numPr>
          <w:ilvl w:val="0"/>
          <w:numId w:val="0"/>
        </w:numPr>
        <w:spacing w:line="56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超过报价文件递交截止时间送达的，全部视为无效响应文件，采购人将拒绝接收。</w:t>
      </w:r>
    </w:p>
    <w:p w14:paraId="0B3C5282">
      <w:p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3、报价文件的补充、修改或撤回</w:t>
      </w:r>
    </w:p>
    <w:p w14:paraId="4A2D5C1A">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在提交报价文件截止时间前，可以对所提交的报价文件进行补充、修改或者撤回，并书面通知采购人。补充、修改的内容作为报价文件的组成部分。补充、修改的内容与报价文件不一致的，以补充、修改的内容为准。</w:t>
      </w:r>
    </w:p>
    <w:p w14:paraId="69B2692E">
      <w:pPr>
        <w:spacing w:afterAutospacing="0"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从报价文件递交截止期至投标有效期期满这段时间内，</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不得撤回其响应文件。</w:t>
      </w:r>
    </w:p>
    <w:p w14:paraId="385AE2E3">
      <w:pPr>
        <w:pStyle w:val="3"/>
        <w:spacing w:before="0" w:beforeAutospacing="0" w:after="0" w:afterAutospacing="0" w:line="560" w:lineRule="exact"/>
        <w:rPr>
          <w:rFonts w:hint="eastAsia" w:ascii="仿宋" w:hAnsi="仿宋" w:eastAsia="仿宋" w:cs="仿宋"/>
          <w:b/>
          <w:bCs/>
          <w:color w:val="auto"/>
          <w:sz w:val="24"/>
          <w:szCs w:val="24"/>
          <w:highlight w:val="none"/>
        </w:rPr>
      </w:pPr>
      <w:bookmarkStart w:id="30" w:name="_Toc10752"/>
      <w:bookmarkStart w:id="31" w:name="_Toc126132852"/>
      <w:bookmarkStart w:id="32" w:name="_Toc123712559"/>
      <w:r>
        <w:rPr>
          <w:rFonts w:hint="eastAsia" w:hAnsi="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、开标及评标</w:t>
      </w:r>
      <w:bookmarkEnd w:id="30"/>
      <w:bookmarkEnd w:id="31"/>
      <w:bookmarkEnd w:id="32"/>
    </w:p>
    <w:p w14:paraId="3BDB75C0">
      <w:pPr>
        <w:spacing w:beforeAutospacing="0"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开标组织</w:t>
      </w:r>
    </w:p>
    <w:p w14:paraId="651D5312">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“采购公告”中规定的时间和地点组织公开开标。</w:t>
      </w:r>
    </w:p>
    <w:p w14:paraId="5720A658">
      <w:p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评审小组</w:t>
      </w:r>
    </w:p>
    <w:p w14:paraId="389ED55A">
      <w:pPr>
        <w:spacing w:line="560" w:lineRule="exact"/>
        <w:ind w:firstLine="480" w:firstLineChars="200"/>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t>由公司选择评审人员成立评审小组，评审工作由评审小组负责。</w:t>
      </w:r>
    </w:p>
    <w:p w14:paraId="7EC666CE">
      <w:p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3、开标程序</w:t>
      </w:r>
    </w:p>
    <w:p w14:paraId="3D5314DA">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（1）在投标截止时间前，各投标人必须到达规定地点进行签到，否则无法进入后续的开标环节。如投标人未在投标截止时间前签到，按废标处理。</w:t>
      </w:r>
    </w:p>
    <w:p w14:paraId="12BC664B">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（2）投标文件递交截止时间后，由采购人检查文件密封性，确认无误后进行开标。</w:t>
      </w:r>
    </w:p>
    <w:p w14:paraId="1D75E1EF">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（3）文件密封性检查后，由采购人将所有投标文件移交至评审室。由评审小组进行所有的评审程序包括资格审查和评标。</w:t>
      </w:r>
    </w:p>
    <w:p w14:paraId="2D84579D">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（4）评审小组对投标文件进行评审，若投标文件中的资格证明文件不符合要求，视为无效投标。</w:t>
      </w:r>
    </w:p>
    <w:p w14:paraId="08F68649">
      <w:pPr>
        <w:spacing w:line="560" w:lineRule="exact"/>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（5）资格审查结束后，采购人将进行唱标，当场宣读资格审查结果，宣读有效投标人名称及其密封报价。</w:t>
      </w:r>
      <w:r>
        <w:rPr>
          <w:rFonts w:hint="eastAsia" w:ascii="仿宋" w:hAnsi="仿宋" w:eastAsia="仿宋" w:cs="仿宋"/>
          <w:b/>
          <w:bCs w:val="0"/>
          <w:color w:val="FF0000"/>
          <w:sz w:val="24"/>
          <w:szCs w:val="24"/>
          <w:highlight w:val="none"/>
          <w:lang w:eastAsia="zh-CN"/>
        </w:rPr>
        <w:t>【</w:t>
      </w:r>
      <w:r>
        <w:rPr>
          <w:rFonts w:hint="eastAsia" w:ascii="仿宋" w:hAnsi="仿宋" w:eastAsia="仿宋" w:cs="仿宋"/>
          <w:b/>
          <w:bCs w:val="0"/>
          <w:color w:val="FF0000"/>
          <w:sz w:val="24"/>
          <w:szCs w:val="24"/>
          <w:highlight w:val="none"/>
          <w:lang w:val="en-US" w:eastAsia="zh-CN"/>
        </w:rPr>
        <w:t>以不含税价进行对比</w:t>
      </w:r>
      <w:r>
        <w:rPr>
          <w:rFonts w:hint="eastAsia" w:ascii="仿宋" w:hAnsi="仿宋" w:eastAsia="仿宋" w:cs="仿宋"/>
          <w:b/>
          <w:bCs w:val="0"/>
          <w:color w:val="FF0000"/>
          <w:sz w:val="24"/>
          <w:szCs w:val="24"/>
          <w:highlight w:val="none"/>
          <w:lang w:eastAsia="zh-CN"/>
        </w:rPr>
        <w:t>】</w:t>
      </w:r>
    </w:p>
    <w:p w14:paraId="33FA7D95">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（6）只有开标时唱出的内容，在评标时才予以考虑。在开标时没有宣读的投标文件，在评标时将不予考虑。</w:t>
      </w:r>
    </w:p>
    <w:p w14:paraId="71D3DA28">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（7）开标过程应当由采购人负责录像记录，并随采购文件一并存档。</w:t>
      </w:r>
    </w:p>
    <w:p w14:paraId="35E44045">
      <w:pPr>
        <w:spacing w:line="56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4、评标程序</w:t>
      </w:r>
    </w:p>
    <w:p w14:paraId="47049B24">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（1）评审小组审查投标文件完全是否响应本次竞价采购要求，包括采购产品技术规格及要求，未响应视为无效投标。</w:t>
      </w:r>
    </w:p>
    <w:p w14:paraId="47B273D0">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（2）评标方法采用</w:t>
      </w:r>
      <w:r>
        <w:rPr>
          <w:rFonts w:hint="eastAsia" w:ascii="仿宋" w:hAnsi="仿宋" w:eastAsia="仿宋" w:cs="仿宋"/>
          <w:bCs/>
          <w:color w:val="auto"/>
          <w:sz w:val="24"/>
          <w:szCs w:val="24"/>
          <w:highlight w:val="none"/>
          <w:lang w:val="en-US" w:eastAsia="zh-CN"/>
        </w:rPr>
        <w:t>低价法</w:t>
      </w:r>
      <w:r>
        <w:rPr>
          <w:rFonts w:hint="eastAsia" w:ascii="仿宋" w:hAnsi="仿宋" w:eastAsia="仿宋" w:cs="仿宋"/>
          <w:bCs/>
          <w:color w:val="auto"/>
          <w:sz w:val="24"/>
          <w:szCs w:val="24"/>
          <w:highlight w:val="none"/>
        </w:rPr>
        <w:t>，即指投标文件满足采购文件全部实质性要求，综合对比</w:t>
      </w:r>
      <w:r>
        <w:rPr>
          <w:rFonts w:hint="eastAsia" w:hAnsi="仿宋" w:cs="仿宋"/>
          <w:bCs/>
          <w:color w:val="auto"/>
          <w:sz w:val="24"/>
          <w:szCs w:val="24"/>
          <w:highlight w:val="none"/>
          <w:lang w:val="en-US" w:eastAsia="zh-CN"/>
        </w:rPr>
        <w:t>不</w:t>
      </w:r>
      <w:r>
        <w:rPr>
          <w:rFonts w:hint="eastAsia" w:ascii="仿宋" w:hAnsi="仿宋" w:eastAsia="仿宋" w:cs="仿宋"/>
          <w:bCs/>
          <w:color w:val="auto"/>
          <w:sz w:val="24"/>
          <w:szCs w:val="24"/>
          <w:highlight w:val="none"/>
        </w:rPr>
        <w:t>含税价最低者为中标候选人的评标方法。</w:t>
      </w:r>
    </w:p>
    <w:p w14:paraId="41558B67">
      <w:pPr>
        <w:spacing w:line="56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（3）评标过程中出现下列情况者，投标文件被视为无效：</w:t>
      </w:r>
    </w:p>
    <w:p w14:paraId="03ECF6D5">
      <w:pPr>
        <w:spacing w:line="560" w:lineRule="exact"/>
        <w:ind w:firstLine="480" w:firstLineChars="200"/>
        <w:rPr>
          <w:rFonts w:hint="eastAsia" w:ascii="仿宋" w:hAnsi="仿宋" w:eastAsia="仿宋" w:cs="仿宋"/>
          <w:bCs/>
          <w:color w:val="auto"/>
          <w:sz w:val="24"/>
          <w:szCs w:val="24"/>
          <w:highlight w:val="none"/>
        </w:rPr>
      </w:pPr>
      <w:bookmarkStart w:id="33" w:name="_Toc21508"/>
      <w:r>
        <w:rPr>
          <w:rFonts w:hint="eastAsia" w:ascii="仿宋" w:hAnsi="仿宋" w:eastAsia="仿宋" w:cs="仿宋"/>
          <w:bCs/>
          <w:color w:val="auto"/>
          <w:sz w:val="24"/>
          <w:szCs w:val="24"/>
          <w:highlight w:val="none"/>
        </w:rPr>
        <w:t>未提交报价表或未在规定时间内提交最后报价或最后报价不符合采购文件要求的；</w:t>
      </w:r>
      <w:bookmarkEnd w:id="33"/>
    </w:p>
    <w:p w14:paraId="5CEDF494">
      <w:pPr>
        <w:spacing w:line="560" w:lineRule="exact"/>
        <w:ind w:firstLine="480" w:firstLineChars="200"/>
        <w:rPr>
          <w:rFonts w:hint="eastAsia" w:ascii="仿宋" w:hAnsi="仿宋" w:eastAsia="仿宋" w:cs="仿宋"/>
          <w:bCs/>
          <w:color w:val="auto"/>
          <w:sz w:val="24"/>
          <w:szCs w:val="24"/>
          <w:highlight w:val="none"/>
        </w:rPr>
      </w:pPr>
      <w:bookmarkStart w:id="34" w:name="_Toc17522"/>
      <w:r>
        <w:rPr>
          <w:rFonts w:hint="eastAsia" w:ascii="仿宋" w:hAnsi="仿宋" w:eastAsia="仿宋" w:cs="仿宋"/>
          <w:bCs/>
          <w:color w:val="auto"/>
          <w:sz w:val="24"/>
          <w:szCs w:val="24"/>
          <w:highlight w:val="none"/>
        </w:rPr>
        <w:t>未按采购文件的规定提供资格、资信证明文件的；</w:t>
      </w:r>
      <w:bookmarkEnd w:id="34"/>
    </w:p>
    <w:p w14:paraId="7D2BCE27">
      <w:pPr>
        <w:spacing w:line="560" w:lineRule="exact"/>
        <w:ind w:firstLine="480" w:firstLineChars="200"/>
        <w:rPr>
          <w:rFonts w:hint="eastAsia" w:ascii="仿宋" w:hAnsi="仿宋" w:eastAsia="仿宋" w:cs="仿宋"/>
          <w:bCs/>
          <w:color w:val="auto"/>
          <w:sz w:val="24"/>
          <w:szCs w:val="24"/>
          <w:highlight w:val="none"/>
        </w:rPr>
      </w:pPr>
      <w:bookmarkStart w:id="35" w:name="_Toc26757"/>
      <w:r>
        <w:rPr>
          <w:rFonts w:hint="eastAsia" w:ascii="仿宋" w:hAnsi="仿宋" w:eastAsia="仿宋" w:cs="仿宋"/>
          <w:bCs/>
          <w:color w:val="auto"/>
          <w:sz w:val="24"/>
          <w:szCs w:val="24"/>
          <w:highlight w:val="none"/>
        </w:rPr>
        <w:t>未按采购文件要求签字、签章的，或签字（签章）人无法定代表人有效委托的；</w:t>
      </w:r>
      <w:bookmarkEnd w:id="35"/>
    </w:p>
    <w:p w14:paraId="659C2051">
      <w:pPr>
        <w:spacing w:line="560" w:lineRule="exact"/>
        <w:ind w:firstLine="480" w:firstLineChars="200"/>
        <w:rPr>
          <w:rFonts w:hint="eastAsia" w:ascii="仿宋" w:hAnsi="仿宋" w:eastAsia="仿宋" w:cs="仿宋"/>
          <w:bCs/>
          <w:color w:val="auto"/>
          <w:sz w:val="24"/>
          <w:szCs w:val="24"/>
          <w:highlight w:val="none"/>
        </w:rPr>
      </w:pPr>
      <w:bookmarkStart w:id="36" w:name="_Toc25893"/>
      <w:r>
        <w:rPr>
          <w:rFonts w:hint="eastAsia" w:ascii="仿宋" w:hAnsi="仿宋" w:eastAsia="仿宋" w:cs="仿宋"/>
          <w:bCs/>
          <w:color w:val="auto"/>
          <w:sz w:val="24"/>
          <w:szCs w:val="24"/>
          <w:highlight w:val="none"/>
        </w:rPr>
        <w:t>投标文件含有采购人不能接受的附加条件的；</w:t>
      </w:r>
      <w:bookmarkEnd w:id="36"/>
    </w:p>
    <w:p w14:paraId="4BDA4F04">
      <w:pPr>
        <w:spacing w:line="560" w:lineRule="exact"/>
        <w:ind w:firstLine="480" w:firstLineChars="200"/>
        <w:rPr>
          <w:rFonts w:hint="eastAsia" w:ascii="仿宋" w:hAnsi="仿宋" w:eastAsia="仿宋" w:cs="仿宋"/>
          <w:bCs/>
          <w:color w:val="auto"/>
          <w:sz w:val="24"/>
          <w:szCs w:val="24"/>
          <w:highlight w:val="none"/>
        </w:rPr>
      </w:pPr>
      <w:bookmarkStart w:id="37" w:name="_Toc6637"/>
      <w:r>
        <w:rPr>
          <w:rFonts w:hint="eastAsia" w:ascii="仿宋" w:hAnsi="仿宋" w:eastAsia="仿宋" w:cs="仿宋"/>
          <w:bCs/>
          <w:color w:val="auto"/>
          <w:sz w:val="24"/>
          <w:szCs w:val="24"/>
          <w:highlight w:val="none"/>
        </w:rPr>
        <w:t>投标有效期响应不足的；</w:t>
      </w:r>
      <w:bookmarkEnd w:id="37"/>
    </w:p>
    <w:p w14:paraId="71557C55">
      <w:pPr>
        <w:spacing w:line="560" w:lineRule="exact"/>
        <w:ind w:firstLine="480" w:firstLineChars="200"/>
        <w:rPr>
          <w:rFonts w:hint="eastAsia" w:ascii="仿宋" w:hAnsi="仿宋" w:eastAsia="仿宋" w:cs="仿宋"/>
          <w:bCs/>
          <w:color w:val="auto"/>
          <w:sz w:val="24"/>
          <w:szCs w:val="24"/>
          <w:highlight w:val="none"/>
        </w:rPr>
      </w:pPr>
      <w:bookmarkStart w:id="38" w:name="_Toc4872"/>
      <w:r>
        <w:rPr>
          <w:rFonts w:hint="eastAsia" w:ascii="仿宋" w:hAnsi="仿宋" w:eastAsia="仿宋" w:cs="仿宋"/>
          <w:bCs/>
          <w:color w:val="auto"/>
          <w:sz w:val="24"/>
          <w:szCs w:val="24"/>
          <w:highlight w:val="none"/>
        </w:rPr>
        <w:t>超过了采购项目预算或最高限价的；</w:t>
      </w:r>
      <w:bookmarkEnd w:id="38"/>
    </w:p>
    <w:p w14:paraId="0C3A329E">
      <w:pPr>
        <w:spacing w:line="560" w:lineRule="exact"/>
        <w:ind w:firstLine="480" w:firstLineChars="200"/>
        <w:rPr>
          <w:rFonts w:hint="eastAsia" w:ascii="仿宋" w:hAnsi="仿宋" w:eastAsia="仿宋" w:cs="仿宋"/>
          <w:bCs/>
          <w:color w:val="auto"/>
          <w:sz w:val="24"/>
          <w:szCs w:val="24"/>
          <w:highlight w:val="none"/>
        </w:rPr>
      </w:pPr>
      <w:bookmarkStart w:id="39" w:name="_Toc31231"/>
      <w:r>
        <w:rPr>
          <w:rFonts w:hint="eastAsia" w:ascii="仿宋" w:hAnsi="仿宋" w:eastAsia="仿宋" w:cs="仿宋"/>
          <w:bCs/>
          <w:color w:val="auto"/>
          <w:sz w:val="24"/>
          <w:szCs w:val="24"/>
          <w:highlight w:val="none"/>
        </w:rPr>
        <w:t>采购文件规定的其他无效条款。</w:t>
      </w:r>
      <w:bookmarkEnd w:id="39"/>
    </w:p>
    <w:p w14:paraId="6459A0E3">
      <w:pPr>
        <w:spacing w:line="560" w:lineRule="exact"/>
        <w:ind w:firstLine="482" w:firstLineChars="200"/>
        <w:rPr>
          <w:rFonts w:hint="eastAsia" w:ascii="仿宋" w:hAnsi="仿宋" w:eastAsia="仿宋" w:cs="仿宋"/>
          <w:b/>
          <w:color w:val="auto"/>
          <w:sz w:val="24"/>
          <w:szCs w:val="24"/>
          <w:highlight w:val="none"/>
        </w:rPr>
      </w:pPr>
      <w:bookmarkStart w:id="40" w:name="_Toc21873"/>
      <w:r>
        <w:rPr>
          <w:rFonts w:hint="eastAsia" w:ascii="仿宋" w:hAnsi="仿宋" w:eastAsia="仿宋" w:cs="仿宋"/>
          <w:b/>
          <w:color w:val="auto"/>
          <w:sz w:val="24"/>
          <w:szCs w:val="24"/>
          <w:highlight w:val="none"/>
        </w:rPr>
        <w:t>5. 终止采购活动的情形</w:t>
      </w:r>
      <w:bookmarkEnd w:id="40"/>
    </w:p>
    <w:p w14:paraId="49D3C6BA">
      <w:pPr>
        <w:spacing w:line="560" w:lineRule="exact"/>
        <w:ind w:firstLine="480" w:firstLineChars="200"/>
        <w:rPr>
          <w:rFonts w:hint="eastAsia" w:ascii="仿宋" w:hAnsi="仿宋" w:eastAsia="仿宋" w:cs="仿宋"/>
          <w:bCs/>
          <w:color w:val="auto"/>
          <w:sz w:val="24"/>
          <w:szCs w:val="24"/>
          <w:highlight w:val="none"/>
        </w:rPr>
      </w:pPr>
      <w:bookmarkStart w:id="41" w:name="_Toc17800"/>
      <w:r>
        <w:rPr>
          <w:rFonts w:hint="eastAsia" w:ascii="仿宋" w:hAnsi="仿宋" w:eastAsia="仿宋" w:cs="仿宋"/>
          <w:bCs/>
          <w:color w:val="auto"/>
          <w:sz w:val="24"/>
          <w:szCs w:val="24"/>
          <w:highlight w:val="none"/>
        </w:rPr>
        <w:t>出现下列情形之一的，终止采购活动：</w:t>
      </w:r>
      <w:bookmarkEnd w:id="41"/>
    </w:p>
    <w:p w14:paraId="10399CFE">
      <w:pPr>
        <w:spacing w:line="560" w:lineRule="exact"/>
        <w:ind w:firstLine="480" w:firstLineChars="200"/>
        <w:rPr>
          <w:rFonts w:hint="eastAsia" w:ascii="仿宋" w:hAnsi="仿宋" w:eastAsia="仿宋" w:cs="仿宋"/>
          <w:bCs/>
          <w:color w:val="auto"/>
          <w:sz w:val="24"/>
          <w:szCs w:val="24"/>
          <w:highlight w:val="none"/>
        </w:rPr>
      </w:pPr>
      <w:bookmarkStart w:id="42" w:name="_Toc5036"/>
      <w:r>
        <w:rPr>
          <w:rFonts w:hint="eastAsia" w:ascii="仿宋" w:hAnsi="仿宋" w:eastAsia="仿宋" w:cs="仿宋"/>
          <w:bCs/>
          <w:color w:val="auto"/>
          <w:sz w:val="24"/>
          <w:szCs w:val="24"/>
          <w:highlight w:val="none"/>
        </w:rPr>
        <w:t>（1）因情况变化，不再符合规定的采购方式适用情形的；</w:t>
      </w:r>
      <w:bookmarkEnd w:id="42"/>
    </w:p>
    <w:p w14:paraId="5D1D430F">
      <w:pPr>
        <w:spacing w:line="560" w:lineRule="exact"/>
        <w:ind w:firstLine="480" w:firstLineChars="200"/>
        <w:rPr>
          <w:rFonts w:hint="eastAsia" w:ascii="仿宋" w:hAnsi="仿宋" w:eastAsia="仿宋" w:cs="仿宋"/>
          <w:bCs/>
          <w:color w:val="auto"/>
          <w:sz w:val="24"/>
          <w:szCs w:val="24"/>
          <w:highlight w:val="none"/>
        </w:rPr>
      </w:pPr>
      <w:bookmarkStart w:id="43" w:name="_Toc7417"/>
      <w:r>
        <w:rPr>
          <w:rFonts w:hint="eastAsia" w:ascii="仿宋" w:hAnsi="仿宋" w:eastAsia="仿宋" w:cs="仿宋"/>
          <w:bCs/>
          <w:color w:val="auto"/>
          <w:sz w:val="24"/>
          <w:szCs w:val="24"/>
          <w:highlight w:val="none"/>
        </w:rPr>
        <w:t>（2）出现影响采购公正的违法、违规行为的；</w:t>
      </w:r>
      <w:bookmarkEnd w:id="43"/>
    </w:p>
    <w:p w14:paraId="5A47A7C5">
      <w:pPr>
        <w:spacing w:afterAutospacing="0" w:line="560" w:lineRule="exact"/>
        <w:ind w:firstLine="480" w:firstLineChars="200"/>
        <w:rPr>
          <w:rFonts w:hint="eastAsia" w:ascii="仿宋" w:hAnsi="仿宋" w:eastAsia="仿宋" w:cs="仿宋"/>
          <w:bCs/>
          <w:color w:val="auto"/>
          <w:sz w:val="24"/>
          <w:szCs w:val="24"/>
          <w:highlight w:val="none"/>
        </w:rPr>
      </w:pPr>
      <w:bookmarkStart w:id="44" w:name="_Toc30993"/>
      <w:r>
        <w:rPr>
          <w:rFonts w:hint="eastAsia" w:ascii="仿宋" w:hAnsi="仿宋" w:eastAsia="仿宋" w:cs="仿宋"/>
          <w:bCs/>
          <w:color w:val="auto"/>
          <w:sz w:val="24"/>
          <w:szCs w:val="24"/>
          <w:highlight w:val="none"/>
        </w:rPr>
        <w:t>（3）在采购过程中符合竞争要求的</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或者报价未超过采购预算的</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不足</w:t>
      </w:r>
      <w:r>
        <w:rPr>
          <w:rFonts w:hint="eastAsia" w:hAnsi="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家的。</w:t>
      </w:r>
      <w:bookmarkEnd w:id="44"/>
    </w:p>
    <w:p w14:paraId="089F2845">
      <w:pPr>
        <w:pStyle w:val="3"/>
        <w:spacing w:before="0" w:beforeAutospacing="0" w:after="0" w:afterAutospacing="0" w:line="560" w:lineRule="exact"/>
        <w:rPr>
          <w:rFonts w:hint="eastAsia" w:ascii="仿宋" w:hAnsi="仿宋" w:eastAsia="仿宋" w:cs="仿宋"/>
          <w:b/>
          <w:bCs/>
          <w:color w:val="auto"/>
          <w:sz w:val="24"/>
          <w:szCs w:val="24"/>
          <w:highlight w:val="none"/>
          <w:lang w:eastAsia="zh-CN"/>
        </w:rPr>
      </w:pPr>
      <w:bookmarkStart w:id="45" w:name="_Toc126132853"/>
      <w:bookmarkStart w:id="46" w:name="_Toc1443"/>
      <w:bookmarkStart w:id="47" w:name="_Toc123712560"/>
      <w:bookmarkStart w:id="48" w:name="_Toc377297026"/>
      <w:bookmarkStart w:id="49" w:name="_Toc501638128"/>
      <w:bookmarkStart w:id="50" w:name="_Toc376848253"/>
      <w:r>
        <w:rPr>
          <w:rFonts w:hint="eastAsia" w:hAnsi="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、推荐确定成交</w:t>
      </w:r>
      <w:bookmarkEnd w:id="45"/>
      <w:bookmarkEnd w:id="46"/>
      <w:bookmarkEnd w:id="47"/>
      <w:bookmarkEnd w:id="48"/>
      <w:bookmarkEnd w:id="49"/>
      <w:r>
        <w:rPr>
          <w:rFonts w:hint="eastAsia" w:ascii="仿宋" w:hAnsi="仿宋" w:eastAsia="仿宋" w:cs="仿宋"/>
          <w:b/>
          <w:bCs/>
          <w:color w:val="auto"/>
          <w:sz w:val="24"/>
          <w:szCs w:val="24"/>
          <w:highlight w:val="none"/>
          <w:lang w:eastAsia="zh-CN"/>
        </w:rPr>
        <w:t>投标人</w:t>
      </w:r>
    </w:p>
    <w:p w14:paraId="779C7224">
      <w:pPr>
        <w:spacing w:beforeAutospacing="0" w:line="560" w:lineRule="exact"/>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1、确定成交</w:t>
      </w:r>
      <w:r>
        <w:rPr>
          <w:rFonts w:hint="eastAsia" w:ascii="仿宋" w:hAnsi="仿宋" w:eastAsia="仿宋" w:cs="仿宋"/>
          <w:b/>
          <w:bCs/>
          <w:color w:val="auto"/>
          <w:sz w:val="24"/>
          <w:szCs w:val="24"/>
          <w:highlight w:val="none"/>
          <w:lang w:eastAsia="zh-CN"/>
        </w:rPr>
        <w:t>投标人</w:t>
      </w:r>
    </w:p>
    <w:p w14:paraId="06B17FE0">
      <w:pPr>
        <w:spacing w:afterAutospacing="0" w:line="560" w:lineRule="exact"/>
        <w:ind w:firstLine="480" w:firstLineChars="200"/>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评审小组从质量和服务均能满足采购文件实质性要求的</w:t>
      </w:r>
      <w:r>
        <w:rPr>
          <w:rFonts w:hint="eastAsia" w:ascii="仿宋" w:hAnsi="仿宋" w:eastAsia="仿宋" w:cs="仿宋"/>
          <w:color w:val="auto"/>
          <w:sz w:val="24"/>
          <w:szCs w:val="24"/>
          <w:highlight w:val="none"/>
          <w:lang w:val="en-GB" w:eastAsia="zh-CN"/>
        </w:rPr>
        <w:t>投标人</w:t>
      </w:r>
      <w:r>
        <w:rPr>
          <w:rFonts w:hint="eastAsia" w:ascii="仿宋" w:hAnsi="仿宋" w:eastAsia="仿宋" w:cs="仿宋"/>
          <w:color w:val="auto"/>
          <w:sz w:val="24"/>
          <w:szCs w:val="24"/>
          <w:highlight w:val="none"/>
          <w:lang w:val="en-GB"/>
        </w:rPr>
        <w:t>中，按照</w:t>
      </w:r>
      <w:r>
        <w:rPr>
          <w:rFonts w:hint="eastAsia" w:ascii="仿宋" w:hAnsi="仿宋" w:eastAsia="仿宋" w:cs="仿宋"/>
          <w:bCs/>
          <w:color w:val="auto"/>
          <w:sz w:val="24"/>
          <w:szCs w:val="24"/>
          <w:highlight w:val="none"/>
        </w:rPr>
        <w:t>投标文件满足招标文件全部实质性要求且投标</w:t>
      </w:r>
      <w:r>
        <w:rPr>
          <w:rFonts w:hint="eastAsia" w:ascii="仿宋" w:hAnsi="仿宋" w:eastAsia="仿宋" w:cs="仿宋"/>
          <w:color w:val="auto"/>
          <w:sz w:val="24"/>
          <w:szCs w:val="24"/>
          <w:highlight w:val="none"/>
        </w:rPr>
        <w:t>报价不含税价最低的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为成交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lang w:val="en-GB"/>
        </w:rPr>
        <w:t>。</w:t>
      </w:r>
      <w:r>
        <w:rPr>
          <w:rFonts w:hint="eastAsia" w:ascii="仿宋" w:hAnsi="仿宋" w:eastAsia="仿宋" w:cs="仿宋"/>
          <w:bCs/>
          <w:color w:val="auto"/>
          <w:sz w:val="24"/>
          <w:szCs w:val="24"/>
          <w:highlight w:val="none"/>
        </w:rPr>
        <w:t>当评标委员会按照招标文件规定的评标办法完成评审后，若出现</w:t>
      </w:r>
      <w:r>
        <w:rPr>
          <w:rFonts w:hint="default" w:ascii="仿宋" w:hAnsi="仿宋" w:eastAsia="仿宋" w:cs="仿宋"/>
          <w:bCs/>
          <w:color w:val="auto"/>
          <w:sz w:val="24"/>
          <w:szCs w:val="24"/>
          <w:highlight w:val="none"/>
        </w:rPr>
        <w:t>两家及以上投标人的投标报价同为最低有效报价且均通过资格性审查、符合性审查及技术评审的情形，将采用随机摇号方式确定中标候选人</w:t>
      </w:r>
      <w:r>
        <w:rPr>
          <w:rFonts w:hint="eastAsia" w:hAnsi="仿宋" w:cs="仿宋"/>
          <w:bCs/>
          <w:color w:val="auto"/>
          <w:sz w:val="24"/>
          <w:szCs w:val="24"/>
          <w:highlight w:val="none"/>
          <w:lang w:eastAsia="zh-CN"/>
        </w:rPr>
        <w:t>。</w:t>
      </w:r>
    </w:p>
    <w:bookmarkEnd w:id="50"/>
    <w:p w14:paraId="74116428">
      <w:pPr>
        <w:pStyle w:val="3"/>
        <w:spacing w:before="0" w:beforeAutospacing="0" w:after="0" w:afterAutospacing="0" w:line="560" w:lineRule="exact"/>
        <w:rPr>
          <w:rFonts w:hint="eastAsia" w:ascii="仿宋" w:hAnsi="仿宋" w:eastAsia="仿宋" w:cs="仿宋"/>
          <w:b/>
          <w:bCs/>
          <w:color w:val="auto"/>
          <w:sz w:val="24"/>
          <w:szCs w:val="24"/>
          <w:highlight w:val="none"/>
        </w:rPr>
      </w:pPr>
      <w:bookmarkStart w:id="51" w:name="_Toc376848254"/>
      <w:bookmarkStart w:id="52" w:name="_Toc501638129"/>
      <w:bookmarkStart w:id="53" w:name="_Toc126132854"/>
      <w:bookmarkStart w:id="54" w:name="_Toc22170"/>
      <w:bookmarkStart w:id="55" w:name="_Toc123712561"/>
      <w:bookmarkStart w:id="56" w:name="_Toc286758340"/>
      <w:r>
        <w:rPr>
          <w:rFonts w:hint="eastAsia" w:hAnsi="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bookmarkEnd w:id="51"/>
      <w:r>
        <w:rPr>
          <w:rFonts w:hint="eastAsia" w:ascii="仿宋" w:hAnsi="仿宋" w:eastAsia="仿宋" w:cs="仿宋"/>
          <w:b/>
          <w:bCs/>
          <w:color w:val="auto"/>
          <w:sz w:val="24"/>
          <w:szCs w:val="24"/>
          <w:highlight w:val="none"/>
        </w:rPr>
        <w:t>成交通知书</w:t>
      </w:r>
      <w:bookmarkEnd w:id="52"/>
      <w:bookmarkEnd w:id="53"/>
      <w:bookmarkEnd w:id="54"/>
      <w:bookmarkEnd w:id="55"/>
    </w:p>
    <w:bookmarkEnd w:id="56"/>
    <w:p w14:paraId="20B39973">
      <w:pPr>
        <w:spacing w:beforeAutospacing="0" w:line="56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1、成交结果公告</w:t>
      </w:r>
    </w:p>
    <w:p w14:paraId="43A13022">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成交</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确定后，采购人在万安城控集团</w:t>
      </w:r>
      <w:r>
        <w:rPr>
          <w:rFonts w:hint="eastAsia" w:hAnsi="仿宋" w:cs="仿宋"/>
          <w:bCs/>
          <w:color w:val="auto"/>
          <w:sz w:val="24"/>
          <w:szCs w:val="24"/>
          <w:highlight w:val="none"/>
          <w:lang w:val="en-US" w:eastAsia="zh-CN"/>
        </w:rPr>
        <w:t>公众号</w:t>
      </w:r>
      <w:r>
        <w:rPr>
          <w:rFonts w:hint="eastAsia" w:ascii="仿宋" w:hAnsi="仿宋" w:eastAsia="仿宋" w:cs="仿宋"/>
          <w:bCs/>
          <w:color w:val="auto"/>
          <w:sz w:val="24"/>
          <w:szCs w:val="24"/>
          <w:highlight w:val="none"/>
        </w:rPr>
        <w:t>上</w:t>
      </w:r>
      <w:r>
        <w:rPr>
          <w:rFonts w:hint="eastAsia" w:hAnsi="仿宋" w:cs="仿宋"/>
          <w:bCs/>
          <w:color w:val="auto"/>
          <w:sz w:val="24"/>
          <w:szCs w:val="24"/>
          <w:highlight w:val="none"/>
          <w:lang w:val="en-US" w:eastAsia="zh-CN"/>
        </w:rPr>
        <w:t>发布</w:t>
      </w:r>
      <w:r>
        <w:rPr>
          <w:rFonts w:hint="eastAsia" w:ascii="仿宋" w:hAnsi="仿宋" w:eastAsia="仿宋" w:cs="仿宋"/>
          <w:bCs/>
          <w:color w:val="auto"/>
          <w:sz w:val="24"/>
          <w:szCs w:val="24"/>
          <w:highlight w:val="none"/>
        </w:rPr>
        <w:t>公告成交结果，公告期限为</w:t>
      </w:r>
      <w:r>
        <w:rPr>
          <w:rFonts w:hint="eastAsia" w:hAnsi="仿宋" w:cs="仿宋"/>
          <w:bCs/>
          <w:color w:val="auto"/>
          <w:sz w:val="24"/>
          <w:szCs w:val="24"/>
          <w:highlight w:val="none"/>
          <w:lang w:val="en-US" w:eastAsia="zh-CN"/>
        </w:rPr>
        <w:t>1个工作日</w:t>
      </w:r>
      <w:r>
        <w:rPr>
          <w:rFonts w:hint="eastAsia" w:ascii="仿宋" w:hAnsi="仿宋" w:eastAsia="仿宋" w:cs="仿宋"/>
          <w:bCs/>
          <w:color w:val="auto"/>
          <w:sz w:val="24"/>
          <w:szCs w:val="24"/>
          <w:highlight w:val="none"/>
        </w:rPr>
        <w:t>。</w:t>
      </w:r>
    </w:p>
    <w:p w14:paraId="150CB66F">
      <w:pPr>
        <w:spacing w:line="560" w:lineRule="exact"/>
        <w:ind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2、成交通知书</w:t>
      </w:r>
    </w:p>
    <w:p w14:paraId="0CDF5F97">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采购人代表公布成交结果，向成交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发出成交通知书，成交通知书是合同的一个组成部分。</w:t>
      </w:r>
    </w:p>
    <w:p w14:paraId="628612BA">
      <w:pPr>
        <w:spacing w:line="56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 签订合同</w:t>
      </w:r>
    </w:p>
    <w:p w14:paraId="2228AE1C">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应按成交通知书规定的时间、地点与采购人签订合同，否则按开标后撤回投标响应文件处理。</w:t>
      </w:r>
    </w:p>
    <w:p w14:paraId="3E614C21">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的响应文件及评审过程中有关澄清文件均为签订合同的依据。</w:t>
      </w:r>
    </w:p>
    <w:p w14:paraId="22AE7FE1">
      <w:pPr>
        <w:spacing w:afterAutospacing="0"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拒绝签订采购合同的，采购人可以确定下一个候选人为成交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，也可以重新开展采购活动。拒绝签订采购合同的成交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不得参加该项目重新开展的采购活动或加入采购人黑名单并罚没竞价保证金。</w:t>
      </w:r>
    </w:p>
    <w:p w14:paraId="04D386BA">
      <w:pPr>
        <w:pStyle w:val="3"/>
        <w:spacing w:before="0" w:beforeAutospacing="0" w:after="0" w:afterAutospacing="0" w:line="560" w:lineRule="exact"/>
        <w:rPr>
          <w:rFonts w:hint="eastAsia" w:ascii="仿宋" w:hAnsi="仿宋" w:eastAsia="仿宋" w:cs="仿宋"/>
          <w:color w:val="auto"/>
          <w:sz w:val="24"/>
          <w:szCs w:val="24"/>
          <w:highlight w:val="none"/>
        </w:rPr>
      </w:pPr>
      <w:bookmarkStart w:id="57" w:name="_Toc126132856"/>
      <w:bookmarkStart w:id="58" w:name="_Toc123712563"/>
      <w:bookmarkStart w:id="59" w:name="_Toc376848257"/>
      <w:bookmarkStart w:id="60" w:name="_Toc28925"/>
      <w:bookmarkStart w:id="61" w:name="_Toc501638133"/>
      <w:bookmarkStart w:id="62" w:name="_Toc245611283"/>
      <w:r>
        <w:rPr>
          <w:rFonts w:hint="eastAsia" w:ascii="仿宋" w:hAnsi="仿宋" w:eastAsia="仿宋" w:cs="仿宋"/>
          <w:color w:val="auto"/>
          <w:sz w:val="24"/>
          <w:szCs w:val="24"/>
          <w:highlight w:val="none"/>
        </w:rPr>
        <w:t>附则</w:t>
      </w:r>
      <w:bookmarkEnd w:id="57"/>
      <w:bookmarkEnd w:id="58"/>
      <w:bookmarkEnd w:id="59"/>
      <w:bookmarkEnd w:id="60"/>
      <w:bookmarkEnd w:id="61"/>
      <w:bookmarkEnd w:id="62"/>
    </w:p>
    <w:p w14:paraId="26DDF69E">
      <w:pPr>
        <w:spacing w:beforeAutospacing="0"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本招标是根据国家有关法律、法规以及公司采购管理有关编制，解释权属万安县</w:t>
      </w:r>
      <w:r>
        <w:rPr>
          <w:rFonts w:hint="eastAsia" w:ascii="仿宋" w:hAnsi="仿宋" w:eastAsia="仿宋" w:cs="仿宋"/>
          <w:color w:val="auto"/>
          <w:sz w:val="24"/>
          <w:szCs w:val="24"/>
          <w:highlight w:val="none"/>
          <w:lang w:val="en-US" w:eastAsia="zh-CN"/>
        </w:rPr>
        <w:t>跃邦建筑工程</w:t>
      </w:r>
      <w:r>
        <w:rPr>
          <w:rFonts w:hint="eastAsia" w:ascii="仿宋" w:hAnsi="仿宋" w:eastAsia="仿宋" w:cs="仿宋"/>
          <w:color w:val="auto"/>
          <w:sz w:val="24"/>
          <w:szCs w:val="24"/>
          <w:highlight w:val="none"/>
        </w:rPr>
        <w:t>有限公司。</w:t>
      </w:r>
    </w:p>
    <w:p w14:paraId="2FD9D195">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241D341C">
      <w:pPr>
        <w:pStyle w:val="2"/>
        <w:jc w:val="both"/>
        <w:rPr>
          <w:rFonts w:hint="eastAsia" w:ascii="仿宋" w:hAnsi="仿宋" w:eastAsia="仿宋" w:cs="仿宋"/>
          <w:color w:val="auto"/>
          <w:sz w:val="28"/>
          <w:szCs w:val="28"/>
          <w:highlight w:val="none"/>
        </w:rPr>
      </w:pPr>
      <w:bookmarkStart w:id="63" w:name="_Toc23128"/>
      <w:r>
        <w:rPr>
          <w:rFonts w:hint="eastAsia" w:ascii="仿宋" w:hAnsi="仿宋" w:eastAsia="仿宋" w:cs="仿宋"/>
          <w:color w:val="auto"/>
          <w:sz w:val="28"/>
          <w:szCs w:val="28"/>
          <w:highlight w:val="none"/>
        </w:rPr>
        <w:t>附件2.  投标文件格式</w:t>
      </w:r>
      <w:bookmarkEnd w:id="63"/>
    </w:p>
    <w:p w14:paraId="421427F9">
      <w:pPr>
        <w:jc w:val="center"/>
        <w:rPr>
          <w:rFonts w:hint="eastAsia" w:ascii="仿宋" w:hAnsi="仿宋" w:eastAsia="仿宋" w:cs="仿宋"/>
          <w:color w:val="auto"/>
          <w:sz w:val="24"/>
          <w:szCs w:val="24"/>
          <w:highlight w:val="none"/>
        </w:rPr>
      </w:pPr>
    </w:p>
    <w:p w14:paraId="36F148B7">
      <w:pPr>
        <w:jc w:val="center"/>
        <w:rPr>
          <w:rFonts w:hint="eastAsia" w:ascii="仿宋" w:hAnsi="仿宋" w:eastAsia="仿宋" w:cs="仿宋"/>
          <w:color w:val="auto"/>
          <w:sz w:val="24"/>
          <w:szCs w:val="24"/>
          <w:highlight w:val="none"/>
        </w:rPr>
      </w:pPr>
    </w:p>
    <w:p w14:paraId="2E252C34">
      <w:pPr>
        <w:jc w:val="center"/>
        <w:rPr>
          <w:rFonts w:hint="eastAsia" w:ascii="仿宋" w:hAnsi="仿宋" w:eastAsia="仿宋" w:cs="仿宋"/>
          <w:color w:val="auto"/>
          <w:sz w:val="24"/>
          <w:szCs w:val="24"/>
          <w:highlight w:val="none"/>
        </w:rPr>
      </w:pPr>
    </w:p>
    <w:p w14:paraId="66FF9DAE">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投标文件</w:t>
      </w:r>
    </w:p>
    <w:p w14:paraId="5D7A86FD">
      <w:pPr>
        <w:jc w:val="center"/>
        <w:rPr>
          <w:rFonts w:hint="eastAsia" w:ascii="仿宋" w:hAnsi="仿宋" w:eastAsia="仿宋" w:cs="仿宋"/>
          <w:color w:val="auto"/>
          <w:sz w:val="24"/>
          <w:szCs w:val="24"/>
          <w:highlight w:val="none"/>
        </w:rPr>
      </w:pPr>
    </w:p>
    <w:p w14:paraId="21EC3EE4">
      <w:pPr>
        <w:jc w:val="center"/>
        <w:rPr>
          <w:rFonts w:hint="eastAsia" w:ascii="仿宋" w:hAnsi="仿宋" w:eastAsia="仿宋" w:cs="仿宋"/>
          <w:color w:val="auto"/>
          <w:sz w:val="24"/>
          <w:szCs w:val="24"/>
          <w:highlight w:val="none"/>
        </w:rPr>
      </w:pPr>
    </w:p>
    <w:p w14:paraId="11670107">
      <w:pPr>
        <w:jc w:val="center"/>
        <w:rPr>
          <w:rFonts w:hint="eastAsia" w:ascii="仿宋" w:hAnsi="仿宋" w:eastAsia="仿宋" w:cs="仿宋"/>
          <w:color w:val="auto"/>
          <w:sz w:val="24"/>
          <w:szCs w:val="24"/>
          <w:highlight w:val="none"/>
        </w:rPr>
      </w:pPr>
    </w:p>
    <w:p w14:paraId="4EDA7710">
      <w:pPr>
        <w:jc w:val="center"/>
        <w:rPr>
          <w:rFonts w:hint="eastAsia" w:ascii="仿宋" w:hAnsi="仿宋" w:eastAsia="仿宋" w:cs="仿宋"/>
          <w:color w:val="auto"/>
          <w:sz w:val="24"/>
          <w:szCs w:val="24"/>
          <w:highlight w:val="none"/>
        </w:rPr>
      </w:pPr>
    </w:p>
    <w:p w14:paraId="758BCE4A">
      <w:pPr>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2810F6FF">
      <w:pPr>
        <w:ind w:firstLine="1440" w:firstLineChars="600"/>
        <w:rPr>
          <w:rFonts w:hint="eastAsia" w:ascii="仿宋" w:hAnsi="仿宋" w:eastAsia="仿宋" w:cs="仿宋"/>
          <w:color w:val="auto"/>
          <w:sz w:val="24"/>
          <w:szCs w:val="24"/>
          <w:highlight w:val="none"/>
          <w:u w:val="single"/>
        </w:rPr>
      </w:pPr>
    </w:p>
    <w:p w14:paraId="74DAA80A">
      <w:pPr>
        <w:ind w:firstLine="1440" w:firstLineChars="600"/>
        <w:rPr>
          <w:rFonts w:hint="eastAsia" w:ascii="仿宋" w:hAnsi="仿宋" w:eastAsia="仿宋" w:cs="仿宋"/>
          <w:color w:val="auto"/>
          <w:sz w:val="24"/>
          <w:szCs w:val="24"/>
          <w:highlight w:val="none"/>
          <w:u w:val="single"/>
        </w:rPr>
      </w:pPr>
    </w:p>
    <w:p w14:paraId="276123EA">
      <w:pPr>
        <w:ind w:firstLine="1440" w:firstLineChars="600"/>
        <w:rPr>
          <w:rFonts w:hint="eastAsia" w:ascii="仿宋" w:hAnsi="仿宋" w:eastAsia="仿宋" w:cs="仿宋"/>
          <w:color w:val="auto"/>
          <w:sz w:val="24"/>
          <w:szCs w:val="24"/>
          <w:highlight w:val="none"/>
        </w:rPr>
      </w:pPr>
    </w:p>
    <w:p w14:paraId="22754CDF">
      <w:pPr>
        <w:ind w:firstLine="1440" w:firstLineChars="600"/>
        <w:rPr>
          <w:rFonts w:hint="eastAsia" w:ascii="仿宋" w:hAnsi="仿宋" w:eastAsia="仿宋" w:cs="仿宋"/>
          <w:color w:val="auto"/>
          <w:sz w:val="24"/>
          <w:szCs w:val="24"/>
          <w:highlight w:val="none"/>
        </w:rPr>
      </w:pPr>
    </w:p>
    <w:p w14:paraId="2DACD277">
      <w:pPr>
        <w:jc w:val="center"/>
        <w:rPr>
          <w:rFonts w:hint="eastAsia" w:ascii="仿宋" w:hAnsi="仿宋" w:eastAsia="仿宋" w:cs="仿宋"/>
          <w:color w:val="auto"/>
          <w:sz w:val="24"/>
          <w:szCs w:val="24"/>
          <w:highlight w:val="none"/>
        </w:rPr>
      </w:pPr>
    </w:p>
    <w:p w14:paraId="18F77F84">
      <w:pPr>
        <w:jc w:val="center"/>
        <w:rPr>
          <w:rFonts w:hint="eastAsia" w:ascii="仿宋" w:hAnsi="仿宋" w:eastAsia="仿宋" w:cs="仿宋"/>
          <w:color w:val="auto"/>
          <w:sz w:val="24"/>
          <w:szCs w:val="24"/>
          <w:highlight w:val="none"/>
        </w:rPr>
      </w:pPr>
    </w:p>
    <w:p w14:paraId="559115FB">
      <w:pPr>
        <w:jc w:val="center"/>
        <w:rPr>
          <w:rFonts w:hint="eastAsia" w:ascii="仿宋" w:hAnsi="仿宋" w:eastAsia="仿宋" w:cs="仿宋"/>
          <w:color w:val="auto"/>
          <w:sz w:val="24"/>
          <w:szCs w:val="24"/>
          <w:highlight w:val="none"/>
        </w:rPr>
      </w:pPr>
    </w:p>
    <w:p w14:paraId="56467EA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单位（签章）</w:t>
      </w:r>
    </w:p>
    <w:p w14:paraId="69BF419F">
      <w:pPr>
        <w:jc w:val="center"/>
        <w:rPr>
          <w:rFonts w:hint="eastAsia" w:ascii="仿宋" w:hAnsi="仿宋" w:eastAsia="仿宋" w:cs="仿宋"/>
          <w:color w:val="auto"/>
          <w:sz w:val="24"/>
          <w:szCs w:val="24"/>
          <w:highlight w:val="none"/>
        </w:rPr>
      </w:pPr>
    </w:p>
    <w:p w14:paraId="08A31B1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0CCC7F92">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69B1C825">
      <w:pPr>
        <w:keepLines w:val="0"/>
        <w:snapToGrid/>
        <w:spacing w:before="0" w:beforeAutospacing="0" w:after="0" w:afterAutospacing="0" w:line="480" w:lineRule="exact"/>
        <w:jc w:val="both"/>
        <w:textAlignment w:val="baseline"/>
        <w:rPr>
          <w:rFonts w:hint="default" w:ascii="宋体" w:hAnsi="宋体" w:eastAsia="仿宋" w:cs="宋体"/>
          <w:b/>
          <w:bCs/>
          <w:i w:val="0"/>
          <w:caps w:val="0"/>
          <w:spacing w:val="0"/>
          <w:w w:val="100"/>
          <w:sz w:val="24"/>
          <w:szCs w:val="24"/>
          <w:lang w:val="en-US" w:eastAsia="zh-CN"/>
        </w:rPr>
      </w:pPr>
      <w:bookmarkStart w:id="64" w:name="_Toc11848"/>
      <w:r>
        <w:rPr>
          <w:rFonts w:hint="eastAsia" w:ascii="宋体" w:hAnsi="宋体" w:cs="宋体"/>
          <w:b/>
          <w:bCs/>
          <w:i w:val="0"/>
          <w:caps w:val="0"/>
          <w:spacing w:val="0"/>
          <w:w w:val="100"/>
          <w:sz w:val="24"/>
          <w:szCs w:val="24"/>
          <w:lang w:val="en-US" w:eastAsia="zh-CN"/>
        </w:rPr>
        <w:t>格式1</w:t>
      </w:r>
    </w:p>
    <w:p w14:paraId="47F8D4DB">
      <w:pPr>
        <w:keepLines w:val="0"/>
        <w:snapToGrid/>
        <w:spacing w:before="0" w:beforeAutospacing="0" w:after="0" w:afterAutospacing="0" w:line="480" w:lineRule="exact"/>
        <w:jc w:val="center"/>
        <w:textAlignment w:val="baseline"/>
        <w:rPr>
          <w:rFonts w:hint="eastAsia" w:ascii="宋体" w:hAnsi="宋体" w:cs="宋体"/>
          <w:b/>
          <w:bCs/>
          <w:i w:val="0"/>
          <w:caps w:val="0"/>
          <w:spacing w:val="0"/>
          <w:w w:val="100"/>
          <w:sz w:val="44"/>
          <w:szCs w:val="44"/>
        </w:rPr>
      </w:pPr>
      <w:r>
        <w:rPr>
          <w:rFonts w:hint="eastAsia" w:ascii="宋体" w:hAnsi="宋体" w:cs="宋体"/>
          <w:b/>
          <w:bCs/>
          <w:i w:val="0"/>
          <w:caps w:val="0"/>
          <w:spacing w:val="0"/>
          <w:w w:val="100"/>
          <w:sz w:val="44"/>
          <w:szCs w:val="44"/>
          <w:lang w:val="en-US" w:eastAsia="zh-CN"/>
        </w:rPr>
        <w:t>报</w:t>
      </w:r>
      <w:r>
        <w:rPr>
          <w:rFonts w:hint="eastAsia" w:ascii="宋体" w:hAnsi="宋体" w:cs="宋体"/>
          <w:b/>
          <w:bCs/>
          <w:i w:val="0"/>
          <w:caps w:val="0"/>
          <w:spacing w:val="0"/>
          <w:w w:val="100"/>
          <w:sz w:val="44"/>
          <w:szCs w:val="44"/>
        </w:rPr>
        <w:t>价单</w:t>
      </w:r>
    </w:p>
    <w:p w14:paraId="386694C2">
      <w:pPr>
        <w:keepLines w:val="0"/>
        <w:snapToGrid/>
        <w:spacing w:before="0" w:beforeAutospacing="0" w:after="0" w:afterAutospacing="0" w:line="480" w:lineRule="exact"/>
        <w:jc w:val="both"/>
        <w:textAlignment w:val="baseline"/>
        <w:rPr>
          <w:rFonts w:hint="eastAsia" w:ascii="宋体" w:hAnsi="宋体" w:cs="宋体"/>
          <w:b w:val="0"/>
          <w:bCs w:val="0"/>
          <w:i w:val="0"/>
          <w:caps w:val="0"/>
          <w:spacing w:val="0"/>
          <w:w w:val="100"/>
          <w:sz w:val="28"/>
          <w:szCs w:val="28"/>
          <w:lang w:val="en-US" w:eastAsia="zh-CN"/>
        </w:rPr>
      </w:pPr>
      <w:r>
        <w:rPr>
          <w:rFonts w:hint="eastAsia" w:ascii="宋体" w:hAnsi="宋体" w:cs="宋体"/>
          <w:b w:val="0"/>
          <w:bCs w:val="0"/>
          <w:i w:val="0"/>
          <w:caps w:val="0"/>
          <w:spacing w:val="0"/>
          <w:w w:val="100"/>
          <w:sz w:val="28"/>
          <w:szCs w:val="28"/>
          <w:lang w:val="en-US" w:eastAsia="zh-CN"/>
        </w:rPr>
        <w:t>致：万安县跃邦建筑有限公司</w:t>
      </w:r>
    </w:p>
    <w:p w14:paraId="79D5F98A">
      <w:pPr>
        <w:keepLines w:val="0"/>
        <w:snapToGrid/>
        <w:spacing w:before="0" w:beforeAutospacing="0" w:after="0" w:afterAutospacing="0" w:line="480" w:lineRule="exact"/>
        <w:jc w:val="both"/>
        <w:textAlignment w:val="baseline"/>
        <w:rPr>
          <w:rFonts w:ascii="宋体" w:hAnsi="宋体" w:cs="宋体"/>
          <w:b w:val="0"/>
          <w:i w:val="0"/>
          <w:caps w:val="0"/>
          <w:spacing w:val="0"/>
          <w:w w:val="100"/>
          <w:sz w:val="28"/>
          <w:szCs w:val="28"/>
        </w:rPr>
      </w:pPr>
      <w:r>
        <w:rPr>
          <w:rFonts w:hint="eastAsia" w:ascii="宋体" w:hAnsi="宋体" w:cs="宋体"/>
          <w:b/>
          <w:bCs/>
          <w:i w:val="0"/>
          <w:caps w:val="0"/>
          <w:spacing w:val="0"/>
          <w:w w:val="100"/>
          <w:sz w:val="28"/>
          <w:szCs w:val="28"/>
          <w:lang w:val="en-US" w:eastAsia="zh-CN"/>
        </w:rPr>
        <w:t xml:space="preserve">    </w:t>
      </w:r>
      <w:r>
        <w:rPr>
          <w:rFonts w:hint="eastAsia" w:ascii="宋体" w:hAnsi="宋体" w:cs="宋体"/>
          <w:b w:val="0"/>
          <w:bCs w:val="0"/>
          <w:i w:val="0"/>
          <w:caps w:val="0"/>
          <w:spacing w:val="0"/>
          <w:w w:val="100"/>
          <w:sz w:val="28"/>
          <w:szCs w:val="28"/>
          <w:lang w:val="en-US" w:eastAsia="zh-CN"/>
        </w:rPr>
        <w:t>我司针对贵司承建的</w:t>
      </w:r>
      <w:r>
        <w:rPr>
          <w:rFonts w:hint="eastAsia" w:ascii="仿宋" w:hAnsi="仿宋" w:eastAsia="仿宋" w:cs="仿宋"/>
          <w:b/>
          <w:bCs/>
          <w:i w:val="0"/>
          <w:caps w:val="0"/>
          <w:spacing w:val="0"/>
          <w:w w:val="100"/>
          <w:sz w:val="28"/>
          <w:szCs w:val="28"/>
          <w:u w:val="single"/>
          <w:lang w:val="en-US" w:eastAsia="zh-CN"/>
        </w:rPr>
        <w:t>城镇综合开发万安县润安林溪湾建设</w:t>
      </w:r>
      <w:r>
        <w:rPr>
          <w:rFonts w:hint="eastAsia" w:ascii="仿宋_GB2312" w:hAnsi="仿宋_GB2312" w:eastAsia="仿宋_GB2312" w:cs="仿宋_GB2312"/>
          <w:b w:val="0"/>
          <w:i w:val="0"/>
          <w:caps w:val="0"/>
          <w:spacing w:val="0"/>
          <w:w w:val="100"/>
          <w:sz w:val="28"/>
          <w:szCs w:val="28"/>
          <w:u w:val="none"/>
          <w:lang w:val="en-US" w:eastAsia="zh-CN"/>
        </w:rPr>
        <w:t>项目</w:t>
      </w:r>
      <w:r>
        <w:rPr>
          <w:rFonts w:hint="eastAsia" w:ascii="仿宋_GB2312" w:hAnsi="仿宋_GB2312" w:eastAsia="仿宋_GB2312" w:cs="仿宋_GB2312"/>
          <w:b w:val="0"/>
          <w:i w:val="0"/>
          <w:caps w:val="0"/>
          <w:spacing w:val="0"/>
          <w:w w:val="100"/>
          <w:sz w:val="28"/>
          <w:szCs w:val="28"/>
          <w:u w:val="single"/>
          <w:lang w:val="en-US" w:eastAsia="zh-CN"/>
        </w:rPr>
        <w:t xml:space="preserve"> </w:t>
      </w:r>
      <w:r>
        <w:rPr>
          <w:rFonts w:hint="eastAsia" w:ascii="仿宋_GB2312" w:hAnsi="仿宋_GB2312" w:eastAsia="仿宋_GB2312" w:cs="仿宋_GB2312"/>
          <w:b/>
          <w:bCs/>
          <w:i w:val="0"/>
          <w:caps w:val="0"/>
          <w:spacing w:val="0"/>
          <w:w w:val="100"/>
          <w:sz w:val="28"/>
          <w:szCs w:val="28"/>
          <w:u w:val="single"/>
          <w:lang w:val="en-US" w:eastAsia="zh-CN"/>
        </w:rPr>
        <w:t>物料提升机租赁</w:t>
      </w:r>
      <w:r>
        <w:rPr>
          <w:rFonts w:hint="eastAsia" w:ascii="仿宋_GB2312" w:hAnsi="仿宋_GB2312" w:eastAsia="仿宋_GB2312" w:cs="仿宋_GB2312"/>
          <w:b w:val="0"/>
          <w:i w:val="0"/>
          <w:caps w:val="0"/>
          <w:spacing w:val="0"/>
          <w:w w:val="100"/>
          <w:sz w:val="28"/>
          <w:szCs w:val="28"/>
          <w:u w:val="single"/>
          <w:lang w:val="en-US" w:eastAsia="zh-CN"/>
        </w:rPr>
        <w:t xml:space="preserve"> </w:t>
      </w:r>
      <w:r>
        <w:rPr>
          <w:rFonts w:hint="eastAsia" w:ascii="仿宋_GB2312" w:hAnsi="仿宋_GB2312" w:eastAsia="仿宋_GB2312" w:cs="仿宋_GB2312"/>
          <w:b w:val="0"/>
          <w:i w:val="0"/>
          <w:caps w:val="0"/>
          <w:spacing w:val="0"/>
          <w:w w:val="100"/>
          <w:sz w:val="28"/>
          <w:szCs w:val="28"/>
          <w:u w:val="none"/>
          <w:lang w:val="en-US" w:eastAsia="zh-CN"/>
        </w:rPr>
        <w:t>做出</w:t>
      </w:r>
      <w:r>
        <w:rPr>
          <w:rFonts w:hint="eastAsia" w:ascii="仿宋_GB2312" w:hAnsi="仿宋_GB2312" w:eastAsia="仿宋_GB2312" w:cs="仿宋_GB2312"/>
          <w:b w:val="0"/>
          <w:i w:val="0"/>
          <w:caps w:val="0"/>
          <w:spacing w:val="0"/>
          <w:w w:val="100"/>
          <w:sz w:val="28"/>
          <w:szCs w:val="28"/>
          <w:lang w:val="en-US" w:eastAsia="zh-CN"/>
        </w:rPr>
        <w:t>报价</w:t>
      </w:r>
      <w:r>
        <w:rPr>
          <w:rFonts w:hint="eastAsia" w:ascii="仿宋_GB2312" w:hAnsi="仿宋_GB2312" w:eastAsia="仿宋_GB2312" w:cs="仿宋_GB2312"/>
          <w:b w:val="0"/>
          <w:i w:val="0"/>
          <w:caps w:val="0"/>
          <w:spacing w:val="0"/>
          <w:w w:val="100"/>
          <w:sz w:val="28"/>
          <w:szCs w:val="28"/>
        </w:rPr>
        <w:t>如下</w:t>
      </w:r>
      <w:r>
        <w:rPr>
          <w:rFonts w:hint="eastAsia" w:ascii="仿宋_GB2312" w:hAnsi="仿宋_GB2312" w:eastAsia="仿宋_GB2312" w:cs="仿宋_GB2312"/>
          <w:b w:val="0"/>
          <w:i w:val="0"/>
          <w:caps w:val="0"/>
          <w:spacing w:val="0"/>
          <w:w w:val="100"/>
          <w:sz w:val="28"/>
          <w:szCs w:val="28"/>
          <w:lang w:eastAsia="zh-CN"/>
        </w:rPr>
        <w:t>：</w:t>
      </w:r>
    </w:p>
    <w:tbl>
      <w:tblPr>
        <w:tblStyle w:val="8"/>
        <w:tblW w:w="5000" w:type="pct"/>
        <w:jc w:val="center"/>
        <w:tblLayout w:type="autofit"/>
        <w:tblCellMar>
          <w:top w:w="0" w:type="dxa"/>
          <w:left w:w="108" w:type="dxa"/>
          <w:bottom w:w="0" w:type="dxa"/>
          <w:right w:w="108" w:type="dxa"/>
        </w:tblCellMar>
      </w:tblPr>
      <w:tblGrid>
        <w:gridCol w:w="730"/>
        <w:gridCol w:w="2641"/>
        <w:gridCol w:w="730"/>
        <w:gridCol w:w="730"/>
        <w:gridCol w:w="1247"/>
        <w:gridCol w:w="743"/>
        <w:gridCol w:w="783"/>
        <w:gridCol w:w="924"/>
      </w:tblGrid>
      <w:tr w14:paraId="72DCE835">
        <w:tblPrEx>
          <w:tblCellMar>
            <w:top w:w="0" w:type="dxa"/>
            <w:left w:w="108" w:type="dxa"/>
            <w:bottom w:w="0" w:type="dxa"/>
            <w:right w:w="108" w:type="dxa"/>
          </w:tblCellMar>
        </w:tblPrEx>
        <w:trPr>
          <w:trHeight w:val="0" w:hRule="atLeast"/>
          <w:jc w:val="center"/>
        </w:trPr>
        <w:tc>
          <w:tcPr>
            <w:tcW w:w="400" w:type="pct"/>
            <w:tcBorders>
              <w:top w:val="single" w:color="auto" w:sz="4" w:space="0"/>
              <w:left w:val="single" w:color="auto" w:sz="4" w:space="0"/>
              <w:bottom w:val="single" w:color="auto" w:sz="4" w:space="0"/>
              <w:right w:val="single" w:color="auto" w:sz="4" w:space="0"/>
            </w:tcBorders>
            <w:noWrap/>
            <w:vAlign w:val="top"/>
          </w:tcPr>
          <w:p w14:paraId="69FA78B3">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序号</w:t>
            </w:r>
          </w:p>
        </w:tc>
        <w:tc>
          <w:tcPr>
            <w:tcW w:w="1679" w:type="pct"/>
            <w:tcBorders>
              <w:top w:val="single" w:color="auto" w:sz="4" w:space="0"/>
              <w:left w:val="nil"/>
              <w:bottom w:val="single" w:color="auto" w:sz="4" w:space="0"/>
              <w:right w:val="single" w:color="auto" w:sz="4" w:space="0"/>
            </w:tcBorders>
            <w:noWrap/>
            <w:vAlign w:val="center"/>
          </w:tcPr>
          <w:p w14:paraId="314B3F3F">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名称</w:t>
            </w:r>
          </w:p>
        </w:tc>
        <w:tc>
          <w:tcPr>
            <w:tcW w:w="400" w:type="pct"/>
            <w:tcBorders>
              <w:top w:val="single" w:color="auto" w:sz="4" w:space="0"/>
              <w:left w:val="nil"/>
              <w:bottom w:val="single" w:color="auto" w:sz="4" w:space="0"/>
              <w:right w:val="single" w:color="auto" w:sz="4" w:space="0"/>
            </w:tcBorders>
            <w:noWrap/>
            <w:vAlign w:val="center"/>
          </w:tcPr>
          <w:p w14:paraId="1073F5CB">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单位</w:t>
            </w:r>
          </w:p>
        </w:tc>
        <w:tc>
          <w:tcPr>
            <w:tcW w:w="400" w:type="pct"/>
            <w:tcBorders>
              <w:top w:val="single" w:color="auto" w:sz="4" w:space="0"/>
              <w:left w:val="nil"/>
              <w:bottom w:val="single" w:color="auto" w:sz="4" w:space="0"/>
              <w:right w:val="single" w:color="auto" w:sz="4" w:space="0"/>
            </w:tcBorders>
            <w:noWrap/>
            <w:vAlign w:val="center"/>
          </w:tcPr>
          <w:p w14:paraId="70098B4E">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lang w:val="en-US" w:eastAsia="zh-CN"/>
              </w:rPr>
              <w:t>数量</w:t>
            </w:r>
          </w:p>
        </w:tc>
        <w:tc>
          <w:tcPr>
            <w:tcW w:w="746" w:type="pct"/>
            <w:tcBorders>
              <w:top w:val="single" w:color="auto" w:sz="4" w:space="0"/>
              <w:left w:val="nil"/>
              <w:bottom w:val="single" w:color="auto" w:sz="4" w:space="0"/>
              <w:right w:val="single" w:color="auto" w:sz="4" w:space="0"/>
            </w:tcBorders>
            <w:noWrap/>
            <w:vAlign w:val="center"/>
          </w:tcPr>
          <w:p w14:paraId="26CAD06C">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lang w:val="en-US" w:eastAsia="zh-CN"/>
              </w:rPr>
              <w:t>租赁时间（月）</w:t>
            </w:r>
          </w:p>
        </w:tc>
        <w:tc>
          <w:tcPr>
            <w:tcW w:w="406" w:type="pct"/>
            <w:tcBorders>
              <w:top w:val="single" w:color="auto" w:sz="4" w:space="0"/>
              <w:left w:val="nil"/>
              <w:bottom w:val="single" w:color="auto" w:sz="4" w:space="0"/>
              <w:right w:val="single" w:color="auto" w:sz="4" w:space="0"/>
            </w:tcBorders>
            <w:noWrap/>
            <w:vAlign w:val="center"/>
          </w:tcPr>
          <w:p w14:paraId="0B11FD4C">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含税单价</w:t>
            </w:r>
          </w:p>
        </w:tc>
        <w:tc>
          <w:tcPr>
            <w:tcW w:w="436" w:type="pct"/>
            <w:tcBorders>
              <w:top w:val="single" w:color="auto" w:sz="4" w:space="0"/>
              <w:left w:val="nil"/>
              <w:bottom w:val="single" w:color="auto" w:sz="4" w:space="0"/>
              <w:right w:val="single" w:color="auto" w:sz="4" w:space="0"/>
            </w:tcBorders>
            <w:noWrap w:val="0"/>
            <w:vAlign w:val="center"/>
          </w:tcPr>
          <w:p w14:paraId="644C8B40">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含税总价</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78CD3BF3">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p>
        </w:tc>
      </w:tr>
      <w:tr w14:paraId="1F646E2D">
        <w:tblPrEx>
          <w:tblCellMar>
            <w:top w:w="0" w:type="dxa"/>
            <w:left w:w="108" w:type="dxa"/>
            <w:bottom w:w="0" w:type="dxa"/>
            <w:right w:w="108" w:type="dxa"/>
          </w:tblCellMar>
        </w:tblPrEx>
        <w:trPr>
          <w:trHeight w:val="0" w:hRule="atLeast"/>
          <w:jc w:val="center"/>
        </w:trPr>
        <w:tc>
          <w:tcPr>
            <w:tcW w:w="400" w:type="pct"/>
            <w:tcBorders>
              <w:top w:val="nil"/>
              <w:left w:val="single" w:color="auto" w:sz="4" w:space="0"/>
              <w:bottom w:val="single" w:color="auto" w:sz="4" w:space="0"/>
              <w:right w:val="single" w:color="auto" w:sz="4" w:space="0"/>
            </w:tcBorders>
            <w:noWrap/>
            <w:vAlign w:val="top"/>
          </w:tcPr>
          <w:p w14:paraId="572F6BCF">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1</w:t>
            </w:r>
          </w:p>
        </w:tc>
        <w:tc>
          <w:tcPr>
            <w:tcW w:w="1679" w:type="pct"/>
            <w:tcBorders>
              <w:top w:val="nil"/>
              <w:left w:val="nil"/>
              <w:bottom w:val="single" w:color="auto" w:sz="4" w:space="0"/>
              <w:right w:val="single" w:color="auto" w:sz="4" w:space="0"/>
            </w:tcBorders>
            <w:noWrap/>
            <w:vAlign w:val="center"/>
          </w:tcPr>
          <w:p w14:paraId="5DAFE838">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37#、41-42#、44#-46#物料提升机（</w:t>
            </w:r>
            <w:r>
              <w:rPr>
                <w:rFonts w:hint="eastAsia" w:ascii="宋体" w:hAnsi="宋体" w:eastAsia="宋体" w:cs="宋体"/>
                <w:color w:val="auto"/>
                <w:sz w:val="24"/>
                <w:szCs w:val="24"/>
                <w:highlight w:val="none"/>
                <w:u w:val="none"/>
                <w:lang w:val="en-US" w:eastAsia="zh-CN"/>
              </w:rPr>
              <w:t>S</w:t>
            </w:r>
            <w:r>
              <w:rPr>
                <w:rFonts w:hint="eastAsia" w:ascii="宋体" w:hAnsi="宋体" w:cs="宋体"/>
                <w:color w:val="auto"/>
                <w:sz w:val="24"/>
                <w:szCs w:val="24"/>
                <w:highlight w:val="none"/>
                <w:u w:val="none"/>
                <w:lang w:val="en-US" w:eastAsia="zh-CN"/>
              </w:rPr>
              <w:t>SED</w:t>
            </w:r>
            <w:r>
              <w:rPr>
                <w:rFonts w:hint="eastAsia" w:ascii="宋体" w:hAnsi="宋体" w:eastAsia="宋体" w:cs="宋体"/>
                <w:color w:val="auto"/>
                <w:sz w:val="24"/>
                <w:szCs w:val="24"/>
                <w:highlight w:val="none"/>
                <w:u w:val="none"/>
                <w:lang w:val="en-US" w:eastAsia="zh-CN"/>
              </w:rPr>
              <w:t>100</w:t>
            </w:r>
            <w:r>
              <w:rPr>
                <w:rFonts w:hint="eastAsia" w:ascii="宋体" w:hAnsi="宋体" w:eastAsia="宋体" w:cs="宋体"/>
                <w:b w:val="0"/>
                <w:i w:val="0"/>
                <w:caps w:val="0"/>
                <w:spacing w:val="0"/>
                <w:w w:val="100"/>
                <w:sz w:val="24"/>
                <w:szCs w:val="24"/>
                <w:lang w:val="en-US" w:eastAsia="zh-CN"/>
              </w:rPr>
              <w:t>）</w:t>
            </w:r>
          </w:p>
        </w:tc>
        <w:tc>
          <w:tcPr>
            <w:tcW w:w="400" w:type="pct"/>
            <w:tcBorders>
              <w:top w:val="nil"/>
              <w:left w:val="nil"/>
              <w:bottom w:val="single" w:color="auto" w:sz="4" w:space="0"/>
              <w:right w:val="single" w:color="auto" w:sz="4" w:space="0"/>
            </w:tcBorders>
            <w:noWrap/>
            <w:vAlign w:val="center"/>
          </w:tcPr>
          <w:p w14:paraId="6E91615D">
            <w:pPr>
              <w:keepNext w:val="0"/>
              <w:keepLines w:val="0"/>
              <w:widowControl/>
              <w:suppressLineNumbers w:val="0"/>
              <w:snapToGrid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00" w:type="pct"/>
            <w:tcBorders>
              <w:top w:val="nil"/>
              <w:left w:val="nil"/>
              <w:bottom w:val="single" w:color="auto" w:sz="4" w:space="0"/>
              <w:right w:val="single" w:color="auto" w:sz="4" w:space="0"/>
            </w:tcBorders>
            <w:noWrap/>
            <w:vAlign w:val="center"/>
          </w:tcPr>
          <w:p w14:paraId="61731EC6">
            <w:pPr>
              <w:keepNext w:val="0"/>
              <w:keepLines w:val="0"/>
              <w:widowControl/>
              <w:suppressLineNumbers w:val="0"/>
              <w:snapToGrid w:val="0"/>
              <w:jc w:val="center"/>
              <w:textAlignment w:val="center"/>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3</w:t>
            </w:r>
          </w:p>
        </w:tc>
        <w:tc>
          <w:tcPr>
            <w:tcW w:w="746" w:type="pct"/>
            <w:tcBorders>
              <w:top w:val="nil"/>
              <w:left w:val="nil"/>
              <w:bottom w:val="single" w:color="auto" w:sz="4" w:space="0"/>
              <w:right w:val="single" w:color="auto" w:sz="4" w:space="0"/>
            </w:tcBorders>
            <w:noWrap/>
            <w:vAlign w:val="center"/>
          </w:tcPr>
          <w:p w14:paraId="3F95846B">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r>
              <w:rPr>
                <w:rFonts w:hint="eastAsia" w:ascii="宋体" w:hAnsi="宋体" w:cs="宋体"/>
                <w:b w:val="0"/>
                <w:i w:val="0"/>
                <w:caps w:val="0"/>
                <w:spacing w:val="0"/>
                <w:w w:val="100"/>
                <w:sz w:val="24"/>
                <w:szCs w:val="24"/>
                <w:lang w:val="en-US" w:eastAsia="zh-CN"/>
              </w:rPr>
              <w:t>5</w:t>
            </w:r>
          </w:p>
        </w:tc>
        <w:tc>
          <w:tcPr>
            <w:tcW w:w="406" w:type="pct"/>
            <w:tcBorders>
              <w:top w:val="nil"/>
              <w:left w:val="nil"/>
              <w:bottom w:val="single" w:color="auto" w:sz="4" w:space="0"/>
              <w:right w:val="single" w:color="auto" w:sz="4" w:space="0"/>
            </w:tcBorders>
            <w:noWrap/>
            <w:vAlign w:val="center"/>
          </w:tcPr>
          <w:p w14:paraId="5FBAB232">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p>
        </w:tc>
        <w:tc>
          <w:tcPr>
            <w:tcW w:w="436" w:type="pct"/>
            <w:tcBorders>
              <w:top w:val="nil"/>
              <w:left w:val="nil"/>
              <w:bottom w:val="single" w:color="auto" w:sz="4" w:space="0"/>
              <w:right w:val="single" w:color="auto" w:sz="4" w:space="0"/>
            </w:tcBorders>
            <w:noWrap w:val="0"/>
            <w:vAlign w:val="center"/>
          </w:tcPr>
          <w:p w14:paraId="0657626A">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p>
        </w:tc>
        <w:tc>
          <w:tcPr>
            <w:tcW w:w="529" w:type="pct"/>
            <w:tcBorders>
              <w:top w:val="nil"/>
              <w:left w:val="single" w:color="auto" w:sz="4" w:space="0"/>
              <w:bottom w:val="single" w:color="auto" w:sz="4" w:space="0"/>
              <w:right w:val="single" w:color="auto" w:sz="4" w:space="0"/>
            </w:tcBorders>
            <w:noWrap w:val="0"/>
            <w:vAlign w:val="center"/>
          </w:tcPr>
          <w:p w14:paraId="78C0D9AE">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p>
        </w:tc>
      </w:tr>
      <w:tr w14:paraId="35064A56">
        <w:tblPrEx>
          <w:tblCellMar>
            <w:top w:w="0" w:type="dxa"/>
            <w:left w:w="108" w:type="dxa"/>
            <w:bottom w:w="0" w:type="dxa"/>
            <w:right w:w="108" w:type="dxa"/>
          </w:tblCellMar>
        </w:tblPrEx>
        <w:trPr>
          <w:trHeight w:val="0" w:hRule="atLeast"/>
          <w:jc w:val="center"/>
        </w:trPr>
        <w:tc>
          <w:tcPr>
            <w:tcW w:w="400" w:type="pct"/>
            <w:tcBorders>
              <w:top w:val="nil"/>
              <w:left w:val="single" w:color="auto" w:sz="4" w:space="0"/>
              <w:bottom w:val="single" w:color="auto" w:sz="4" w:space="0"/>
              <w:right w:val="single" w:color="auto" w:sz="4" w:space="0"/>
            </w:tcBorders>
            <w:noWrap/>
            <w:vAlign w:val="top"/>
          </w:tcPr>
          <w:p w14:paraId="23EB38F7">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2</w:t>
            </w:r>
          </w:p>
        </w:tc>
        <w:tc>
          <w:tcPr>
            <w:tcW w:w="1679" w:type="pct"/>
            <w:tcBorders>
              <w:top w:val="nil"/>
              <w:left w:val="nil"/>
              <w:bottom w:val="single" w:color="auto" w:sz="4" w:space="0"/>
              <w:right w:val="single" w:color="auto" w:sz="4" w:space="0"/>
            </w:tcBorders>
            <w:noWrap/>
            <w:vAlign w:val="center"/>
          </w:tcPr>
          <w:p w14:paraId="20100EB9">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进出场费</w:t>
            </w:r>
          </w:p>
        </w:tc>
        <w:tc>
          <w:tcPr>
            <w:tcW w:w="400" w:type="pct"/>
            <w:tcBorders>
              <w:top w:val="nil"/>
              <w:left w:val="nil"/>
              <w:bottom w:val="single" w:color="auto" w:sz="4" w:space="0"/>
              <w:right w:val="single" w:color="auto" w:sz="4" w:space="0"/>
            </w:tcBorders>
            <w:noWrap/>
            <w:vAlign w:val="center"/>
          </w:tcPr>
          <w:p w14:paraId="3A6C3E20">
            <w:pPr>
              <w:keepNext w:val="0"/>
              <w:keepLines w:val="0"/>
              <w:widowControl/>
              <w:suppressLineNumbers w:val="0"/>
              <w:snapToGrid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00" w:type="pct"/>
            <w:tcBorders>
              <w:top w:val="nil"/>
              <w:left w:val="nil"/>
              <w:bottom w:val="single" w:color="auto" w:sz="4" w:space="0"/>
              <w:right w:val="single" w:color="auto" w:sz="4" w:space="0"/>
            </w:tcBorders>
            <w:noWrap/>
            <w:vAlign w:val="center"/>
          </w:tcPr>
          <w:p w14:paraId="0C794BB8">
            <w:pPr>
              <w:keepNext w:val="0"/>
              <w:keepLines w:val="0"/>
              <w:widowControl/>
              <w:suppressLineNumbers w:val="0"/>
              <w:snapToGrid w:val="0"/>
              <w:jc w:val="center"/>
              <w:textAlignment w:val="center"/>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3</w:t>
            </w:r>
          </w:p>
        </w:tc>
        <w:tc>
          <w:tcPr>
            <w:tcW w:w="746" w:type="pct"/>
            <w:tcBorders>
              <w:top w:val="nil"/>
              <w:left w:val="nil"/>
              <w:bottom w:val="single" w:color="auto" w:sz="4" w:space="0"/>
              <w:right w:val="single" w:color="auto" w:sz="4" w:space="0"/>
            </w:tcBorders>
            <w:noWrap/>
            <w:vAlign w:val="center"/>
          </w:tcPr>
          <w:p w14:paraId="48011D93">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p>
        </w:tc>
        <w:tc>
          <w:tcPr>
            <w:tcW w:w="406" w:type="pct"/>
            <w:tcBorders>
              <w:top w:val="nil"/>
              <w:left w:val="nil"/>
              <w:bottom w:val="single" w:color="auto" w:sz="4" w:space="0"/>
              <w:right w:val="single" w:color="auto" w:sz="4" w:space="0"/>
            </w:tcBorders>
            <w:noWrap/>
            <w:vAlign w:val="center"/>
          </w:tcPr>
          <w:p w14:paraId="7F0BBA6D">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p>
        </w:tc>
        <w:tc>
          <w:tcPr>
            <w:tcW w:w="436" w:type="pct"/>
            <w:tcBorders>
              <w:top w:val="nil"/>
              <w:left w:val="nil"/>
              <w:bottom w:val="single" w:color="auto" w:sz="4" w:space="0"/>
              <w:right w:val="single" w:color="auto" w:sz="4" w:space="0"/>
            </w:tcBorders>
            <w:noWrap w:val="0"/>
            <w:vAlign w:val="center"/>
          </w:tcPr>
          <w:p w14:paraId="5C6C8FD7">
            <w:pPr>
              <w:keepLines w:val="0"/>
              <w:widowControl/>
              <w:snapToGrid w:val="0"/>
              <w:spacing w:before="0" w:beforeAutospacing="0" w:after="0" w:afterAutospacing="0" w:line="480" w:lineRule="exact"/>
              <w:jc w:val="center"/>
              <w:textAlignment w:val="baseline"/>
              <w:rPr>
                <w:rFonts w:hint="default" w:ascii="宋体" w:hAnsi="宋体" w:eastAsia="宋体" w:cs="宋体"/>
                <w:sz w:val="24"/>
                <w:szCs w:val="24"/>
                <w:highlight w:val="none"/>
                <w:u w:val="none"/>
                <w:lang w:val="en-US" w:eastAsia="zh-CN"/>
              </w:rPr>
            </w:pPr>
          </w:p>
        </w:tc>
        <w:tc>
          <w:tcPr>
            <w:tcW w:w="529" w:type="pct"/>
            <w:tcBorders>
              <w:top w:val="nil"/>
              <w:left w:val="single" w:color="auto" w:sz="4" w:space="0"/>
              <w:bottom w:val="single" w:color="auto" w:sz="4" w:space="0"/>
              <w:right w:val="single" w:color="auto" w:sz="4" w:space="0"/>
            </w:tcBorders>
            <w:noWrap w:val="0"/>
            <w:vAlign w:val="center"/>
          </w:tcPr>
          <w:p w14:paraId="1A9CCED5">
            <w:pPr>
              <w:keepLines w:val="0"/>
              <w:widowControl/>
              <w:snapToGrid w:val="0"/>
              <w:spacing w:before="0" w:beforeAutospacing="0" w:after="0" w:afterAutospacing="0" w:line="480" w:lineRule="exact"/>
              <w:jc w:val="center"/>
              <w:textAlignment w:val="baseline"/>
              <w:rPr>
                <w:rFonts w:hint="eastAsia" w:ascii="宋体" w:hAnsi="宋体" w:eastAsia="宋体" w:cs="宋体"/>
                <w:sz w:val="24"/>
                <w:szCs w:val="24"/>
                <w:highlight w:val="none"/>
                <w:u w:val="none"/>
                <w:lang w:val="en-US" w:eastAsia="zh-CN"/>
              </w:rPr>
            </w:pPr>
          </w:p>
        </w:tc>
      </w:tr>
      <w:tr w14:paraId="0499814F">
        <w:tblPrEx>
          <w:tblCellMar>
            <w:top w:w="0" w:type="dxa"/>
            <w:left w:w="108" w:type="dxa"/>
            <w:bottom w:w="0" w:type="dxa"/>
            <w:right w:w="108" w:type="dxa"/>
          </w:tblCellMar>
        </w:tblPrEx>
        <w:trPr>
          <w:trHeight w:val="0" w:hRule="atLeast"/>
          <w:jc w:val="center"/>
        </w:trPr>
        <w:tc>
          <w:tcPr>
            <w:tcW w:w="4034" w:type="pct"/>
            <w:gridSpan w:val="6"/>
            <w:tcBorders>
              <w:top w:val="single" w:color="auto" w:sz="4" w:space="0"/>
              <w:left w:val="single" w:color="auto" w:sz="4" w:space="0"/>
              <w:bottom w:val="single" w:color="auto" w:sz="4" w:space="0"/>
              <w:right w:val="single" w:color="auto" w:sz="4" w:space="0"/>
            </w:tcBorders>
            <w:noWrap/>
            <w:vAlign w:val="top"/>
          </w:tcPr>
          <w:p w14:paraId="4DBB09E7">
            <w:pPr>
              <w:keepLines w:val="0"/>
              <w:widowControl/>
              <w:snapToGrid w:val="0"/>
              <w:spacing w:before="0" w:beforeAutospacing="0" w:after="0" w:afterAutospacing="0" w:line="480" w:lineRule="exact"/>
              <w:jc w:val="both"/>
              <w:textAlignment w:val="baseline"/>
              <w:rPr>
                <w:rFonts w:hint="default"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合计金额（大写）：</w:t>
            </w:r>
          </w:p>
        </w:tc>
        <w:tc>
          <w:tcPr>
            <w:tcW w:w="965" w:type="pct"/>
            <w:gridSpan w:val="2"/>
            <w:tcBorders>
              <w:top w:val="single" w:color="auto" w:sz="4" w:space="0"/>
              <w:left w:val="single" w:color="auto" w:sz="4" w:space="0"/>
              <w:bottom w:val="single" w:color="auto" w:sz="4" w:space="0"/>
              <w:right w:val="single" w:color="auto" w:sz="4" w:space="0"/>
            </w:tcBorders>
            <w:noWrap/>
            <w:vAlign w:val="top"/>
          </w:tcPr>
          <w:p w14:paraId="25487540">
            <w:pPr>
              <w:keepLines w:val="0"/>
              <w:widowControl/>
              <w:snapToGrid w:val="0"/>
              <w:spacing w:before="0" w:beforeAutospacing="0" w:after="0" w:afterAutospacing="0" w:line="480" w:lineRule="exact"/>
              <w:jc w:val="both"/>
              <w:textAlignment w:val="baseline"/>
              <w:rPr>
                <w:rFonts w:hint="default"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小写：</w:t>
            </w:r>
          </w:p>
        </w:tc>
      </w:tr>
      <w:tr w14:paraId="61419923">
        <w:tblPrEx>
          <w:tblCellMar>
            <w:top w:w="0" w:type="dxa"/>
            <w:left w:w="108" w:type="dxa"/>
            <w:bottom w:w="0" w:type="dxa"/>
            <w:right w:w="108"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ign w:val="top"/>
          </w:tcPr>
          <w:p w14:paraId="6CD8030B">
            <w:pPr>
              <w:keepLines w:val="0"/>
              <w:widowControl/>
              <w:snapToGrid w:val="0"/>
              <w:spacing w:before="0" w:beforeAutospacing="0" w:after="0" w:afterAutospacing="0" w:line="480" w:lineRule="exact"/>
              <w:jc w:val="center"/>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本租金及进出场费包含但不限于物料提升机的租金（包括司机工资、加班费）、进出场费（包含进出场运费、安装、拆卸、顶升、附着、检测验收费用）、利润、管理费及税金等。</w:t>
            </w:r>
          </w:p>
        </w:tc>
      </w:tr>
      <w:tr w14:paraId="1863033A">
        <w:tblPrEx>
          <w:tblCellMar>
            <w:top w:w="0" w:type="dxa"/>
            <w:left w:w="108" w:type="dxa"/>
            <w:bottom w:w="0" w:type="dxa"/>
            <w:right w:w="108"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ign w:val="top"/>
          </w:tcPr>
          <w:p w14:paraId="678CA9F4">
            <w:pPr>
              <w:keepLines w:val="0"/>
              <w:widowControl/>
              <w:snapToGrid w:val="0"/>
              <w:spacing w:before="0" w:beforeAutospacing="0" w:after="0" w:afterAutospacing="0" w:line="480" w:lineRule="exact"/>
              <w:jc w:val="center"/>
              <w:textAlignment w:val="baseline"/>
              <w:rPr>
                <w:rFonts w:hint="default" w:ascii="宋体" w:hAnsi="宋体" w:eastAsia="宋体" w:cs="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以上产品报价为含税含运费 发票：</w:t>
            </w:r>
            <w:r>
              <w:rPr>
                <w:rFonts w:hint="eastAsia" w:ascii="宋体" w:hAnsi="宋体" w:eastAsia="宋体" w:cs="宋体"/>
                <w:b w:val="0"/>
                <w:i w:val="0"/>
                <w:caps w:val="0"/>
                <w:spacing w:val="0"/>
                <w:w w:val="100"/>
                <w:sz w:val="24"/>
                <w:szCs w:val="24"/>
                <w:lang w:val="en-US" w:eastAsia="zh-CN"/>
              </w:rPr>
              <w:sym w:font="Wingdings" w:char="00FE"/>
            </w:r>
            <w:r>
              <w:rPr>
                <w:rFonts w:hint="eastAsia" w:ascii="宋体" w:hAnsi="宋体" w:eastAsia="宋体" w:cs="宋体"/>
                <w:b w:val="0"/>
                <w:i w:val="0"/>
                <w:caps w:val="0"/>
                <w:spacing w:val="0"/>
                <w:w w:val="100"/>
                <w:sz w:val="24"/>
                <w:szCs w:val="24"/>
                <w:lang w:val="en-US" w:eastAsia="zh-CN"/>
              </w:rPr>
              <w:t>增值税专用发票</w:t>
            </w:r>
            <w:r>
              <w:rPr>
                <w:rFonts w:hint="eastAsia" w:ascii="宋体" w:hAnsi="宋体" w:eastAsia="宋体" w:cs="宋体"/>
                <w:b w:val="0"/>
                <w:i w:val="0"/>
                <w:caps w:val="0"/>
                <w:spacing w:val="0"/>
                <w:w w:val="100"/>
                <w:sz w:val="24"/>
                <w:szCs w:val="24"/>
                <w:u w:val="single"/>
                <w:lang w:val="en-US" w:eastAsia="zh-CN"/>
              </w:rPr>
              <w:t xml:space="preserve">     </w:t>
            </w:r>
            <w:r>
              <w:rPr>
                <w:rFonts w:hint="eastAsia" w:ascii="宋体" w:hAnsi="宋体" w:eastAsia="宋体" w:cs="宋体"/>
                <w:b w:val="0"/>
                <w:i w:val="0"/>
                <w:caps w:val="0"/>
                <w:spacing w:val="0"/>
                <w:w w:val="100"/>
                <w:sz w:val="24"/>
                <w:szCs w:val="24"/>
                <w:lang w:val="en-US" w:eastAsia="zh-CN"/>
              </w:rPr>
              <w:t xml:space="preserve">％    </w:t>
            </w:r>
          </w:p>
        </w:tc>
      </w:tr>
    </w:tbl>
    <w:p w14:paraId="05E7DA31">
      <w:pPr>
        <w:keepLines w:val="0"/>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报价须知：</w:t>
      </w:r>
    </w:p>
    <w:p w14:paraId="5E9FCCFE">
      <w:pPr>
        <w:keepLines w:val="0"/>
        <w:numPr>
          <w:ilvl w:val="0"/>
          <w:numId w:val="2"/>
        </w:numPr>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所有报价为含税报价。</w:t>
      </w:r>
    </w:p>
    <w:p w14:paraId="5EDD28FA">
      <w:pPr>
        <w:keepLines w:val="0"/>
        <w:numPr>
          <w:ilvl w:val="0"/>
          <w:numId w:val="2"/>
        </w:numPr>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贵司需保证本次报价真实有效。</w:t>
      </w:r>
    </w:p>
    <w:p w14:paraId="44F05948">
      <w:pPr>
        <w:keepLines w:val="0"/>
        <w:numPr>
          <w:ilvl w:val="0"/>
          <w:numId w:val="2"/>
        </w:numPr>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交货或提供服务地点为我司指定地点，因提供产品或服务所产生的任何费用需自行负担。</w:t>
      </w:r>
    </w:p>
    <w:p w14:paraId="3D39469E">
      <w:pPr>
        <w:keepLines w:val="0"/>
        <w:numPr>
          <w:ilvl w:val="0"/>
          <w:numId w:val="2"/>
        </w:numPr>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贵司所提供的所有产品或服务需符合国家相关法律法规，并提供相关资质、合格证明。</w:t>
      </w:r>
    </w:p>
    <w:p w14:paraId="30F474C3">
      <w:pPr>
        <w:keepLines w:val="0"/>
        <w:snapToGrid/>
        <w:spacing w:before="0" w:beforeAutospacing="0" w:after="0" w:afterAutospacing="0" w:line="480" w:lineRule="exact"/>
        <w:ind w:firstLine="5880" w:firstLineChars="2100"/>
        <w:jc w:val="both"/>
        <w:textAlignment w:val="baseline"/>
        <w:rPr>
          <w:rFonts w:hint="eastAsia" w:ascii="仿宋" w:hAnsi="仿宋" w:eastAsia="仿宋" w:cs="仿宋"/>
          <w:b w:val="0"/>
          <w:i w:val="0"/>
          <w:caps w:val="0"/>
          <w:spacing w:val="0"/>
          <w:w w:val="100"/>
          <w:sz w:val="28"/>
          <w:szCs w:val="28"/>
        </w:rPr>
      </w:pPr>
      <w:r>
        <w:rPr>
          <w:rFonts w:hint="eastAsia" w:ascii="仿宋" w:hAnsi="仿宋" w:eastAsia="仿宋" w:cs="仿宋"/>
          <w:b w:val="0"/>
          <w:i w:val="0"/>
          <w:caps w:val="0"/>
          <w:spacing w:val="0"/>
          <w:w w:val="100"/>
          <w:sz w:val="28"/>
          <w:szCs w:val="28"/>
        </w:rPr>
        <w:t xml:space="preserve">公司名称：                     </w:t>
      </w:r>
    </w:p>
    <w:p w14:paraId="30D14104">
      <w:pPr>
        <w:keepLines w:val="0"/>
        <w:snapToGrid/>
        <w:spacing w:before="0" w:beforeAutospacing="0" w:after="0" w:afterAutospacing="0" w:line="480" w:lineRule="exact"/>
        <w:jc w:val="both"/>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28"/>
          <w:szCs w:val="28"/>
        </w:rPr>
        <w:t xml:space="preserve"> </w:t>
      </w:r>
      <w:r>
        <w:rPr>
          <w:rFonts w:hint="eastAsia" w:ascii="仿宋" w:hAnsi="仿宋" w:eastAsia="仿宋" w:cs="仿宋"/>
          <w:b w:val="0"/>
          <w:i w:val="0"/>
          <w:caps w:val="0"/>
          <w:spacing w:val="0"/>
          <w:w w:val="100"/>
          <w:sz w:val="32"/>
          <w:szCs w:val="32"/>
        </w:rPr>
        <w:t xml:space="preserve">  </w:t>
      </w:r>
      <w:r>
        <w:rPr>
          <w:rFonts w:hint="eastAsia" w:ascii="仿宋" w:hAnsi="仿宋" w:eastAsia="仿宋" w:cs="仿宋"/>
          <w:b w:val="0"/>
          <w:i w:val="0"/>
          <w:caps w:val="0"/>
          <w:spacing w:val="0"/>
          <w:w w:val="100"/>
          <w:sz w:val="32"/>
          <w:szCs w:val="32"/>
          <w:lang w:val="en-US" w:eastAsia="zh-CN"/>
        </w:rPr>
        <w:t xml:space="preserve">                                  联系人：</w:t>
      </w:r>
    </w:p>
    <w:p w14:paraId="75E55D70">
      <w:pPr>
        <w:keepLines w:val="0"/>
        <w:snapToGrid/>
        <w:spacing w:before="0" w:beforeAutospacing="0" w:after="0" w:afterAutospacing="0" w:line="480" w:lineRule="exact"/>
        <w:jc w:val="center"/>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 xml:space="preserve">                                 联系电话：</w:t>
      </w:r>
    </w:p>
    <w:p w14:paraId="3E166E61">
      <w:pPr>
        <w:keepLines w:val="0"/>
        <w:snapToGrid/>
        <w:spacing w:before="0" w:beforeAutospacing="0" w:after="0" w:afterAutospacing="0" w:line="480" w:lineRule="exact"/>
        <w:jc w:val="both"/>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 xml:space="preserve">                                 </w:t>
      </w:r>
      <w:r>
        <w:rPr>
          <w:rFonts w:hint="eastAsia" w:hAnsi="仿宋" w:cs="仿宋"/>
          <w:b w:val="0"/>
          <w:i w:val="0"/>
          <w:caps w:val="0"/>
          <w:spacing w:val="0"/>
          <w:w w:val="100"/>
          <w:sz w:val="32"/>
          <w:szCs w:val="32"/>
          <w:lang w:val="en-US" w:eastAsia="zh-CN"/>
        </w:rPr>
        <w:t xml:space="preserve">     </w:t>
      </w:r>
      <w:r>
        <w:rPr>
          <w:rFonts w:hint="eastAsia" w:ascii="仿宋" w:hAnsi="仿宋" w:eastAsia="仿宋" w:cs="仿宋"/>
          <w:b w:val="0"/>
          <w:i w:val="0"/>
          <w:caps w:val="0"/>
          <w:spacing w:val="0"/>
          <w:w w:val="100"/>
          <w:sz w:val="32"/>
          <w:szCs w:val="32"/>
          <w:lang w:val="en-US" w:eastAsia="zh-CN"/>
        </w:rPr>
        <w:t>年</w:t>
      </w:r>
      <w:r>
        <w:rPr>
          <w:rFonts w:hint="eastAsia" w:hAnsi="仿宋" w:cs="仿宋"/>
          <w:b w:val="0"/>
          <w:i w:val="0"/>
          <w:caps w:val="0"/>
          <w:spacing w:val="0"/>
          <w:w w:val="100"/>
          <w:sz w:val="32"/>
          <w:szCs w:val="32"/>
          <w:lang w:val="en-US" w:eastAsia="zh-CN"/>
        </w:rPr>
        <w:t xml:space="preserve">   </w:t>
      </w:r>
      <w:r>
        <w:rPr>
          <w:rFonts w:hint="eastAsia" w:ascii="仿宋" w:hAnsi="仿宋" w:eastAsia="仿宋" w:cs="仿宋"/>
          <w:b w:val="0"/>
          <w:i w:val="0"/>
          <w:caps w:val="0"/>
          <w:spacing w:val="0"/>
          <w:w w:val="100"/>
          <w:sz w:val="32"/>
          <w:szCs w:val="32"/>
          <w:lang w:val="en-US" w:eastAsia="zh-CN"/>
        </w:rPr>
        <w:t>月</w:t>
      </w:r>
      <w:r>
        <w:rPr>
          <w:rFonts w:hint="eastAsia" w:hAnsi="仿宋" w:cs="仿宋"/>
          <w:b w:val="0"/>
          <w:i w:val="0"/>
          <w:caps w:val="0"/>
          <w:spacing w:val="0"/>
          <w:w w:val="100"/>
          <w:sz w:val="32"/>
          <w:szCs w:val="32"/>
          <w:lang w:val="en-US" w:eastAsia="zh-CN"/>
        </w:rPr>
        <w:t xml:space="preserve">   </w:t>
      </w:r>
      <w:r>
        <w:rPr>
          <w:rFonts w:hint="eastAsia" w:ascii="仿宋" w:hAnsi="仿宋" w:eastAsia="仿宋" w:cs="仿宋"/>
          <w:b w:val="0"/>
          <w:i w:val="0"/>
          <w:caps w:val="0"/>
          <w:spacing w:val="0"/>
          <w:w w:val="100"/>
          <w:sz w:val="32"/>
          <w:szCs w:val="32"/>
          <w:lang w:val="en-US" w:eastAsia="zh-CN"/>
        </w:rPr>
        <w:t>日</w:t>
      </w:r>
    </w:p>
    <w:p w14:paraId="1442F3E8">
      <w:pPr>
        <w:widowControl/>
        <w:jc w:val="both"/>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 xml:space="preserve"> </w:t>
      </w:r>
    </w:p>
    <w:p w14:paraId="3FEF4C50">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14:paraId="79DA2CD8">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bookmarkEnd w:id="64"/>
    </w:p>
    <w:p w14:paraId="6542AA07">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14:paraId="7E0D33FC">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14:paraId="38B11659">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14:paraId="7CDD898C">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14:paraId="10144184">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14:paraId="76D44EA3">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1、满足《中华人民共和国政府采购法》第二十二条规定：</w:t>
      </w:r>
    </w:p>
    <w:p w14:paraId="1BAE951F">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1.1、投标人必须为中华人民共和国境内注册的独立法人单位，并具有有效的企业法人营业执照、资质证书（起重设备安装工程专业承包贰级）、有效的安全生产许可证（提供证书原件或复印件加盖投标单位公章）；</w:t>
      </w:r>
    </w:p>
    <w:p w14:paraId="17A36D63">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1.2投标人提供的设备需具有出场合格证书且设备为近五年内制造出厂的（提供出场合格证书原件或复印件加盖投标单位公章）；</w:t>
      </w:r>
    </w:p>
    <w:p w14:paraId="1870F0B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1.3、单位负责人为同一人或者存在直接控股、管理关系的不同投标人，不得参加同一合同项下的采购活动。</w:t>
      </w:r>
    </w:p>
    <w:p w14:paraId="144265AC">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1.4、投标人须提供法人身份证复印件或法人代表授权委托书及被授权人身份证复印件（加盖公章）</w:t>
      </w:r>
    </w:p>
    <w:p w14:paraId="4097A651">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2、法律、行政法规规定的其他条件。</w:t>
      </w:r>
    </w:p>
    <w:p w14:paraId="4AD88FB5">
      <w:pPr>
        <w:pStyle w:val="6"/>
        <w:rPr>
          <w:rFonts w:hint="eastAsia" w:ascii="仿宋" w:hAnsi="仿宋" w:eastAsia="仿宋" w:cs="仿宋"/>
          <w:color w:val="auto"/>
          <w:sz w:val="24"/>
          <w:szCs w:val="24"/>
          <w:highlight w:val="none"/>
        </w:rPr>
      </w:pPr>
    </w:p>
    <w:p w14:paraId="51D921F2">
      <w:pPr>
        <w:pStyle w:val="6"/>
        <w:rPr>
          <w:rFonts w:hint="eastAsia" w:ascii="仿宋" w:hAnsi="仿宋" w:eastAsia="仿宋" w:cs="仿宋"/>
          <w:color w:val="auto"/>
          <w:sz w:val="24"/>
          <w:szCs w:val="24"/>
          <w:highlight w:val="none"/>
        </w:rPr>
      </w:pPr>
    </w:p>
    <w:p w14:paraId="443C3ABB">
      <w:pPr>
        <w:pStyle w:val="6"/>
        <w:rPr>
          <w:rFonts w:hint="eastAsia" w:ascii="仿宋" w:hAnsi="仿宋" w:eastAsia="仿宋" w:cs="仿宋"/>
          <w:color w:val="auto"/>
          <w:sz w:val="24"/>
          <w:szCs w:val="24"/>
          <w:highlight w:val="none"/>
        </w:rPr>
      </w:pPr>
    </w:p>
    <w:p w14:paraId="2EA802BB">
      <w:pPr>
        <w:pStyle w:val="6"/>
        <w:rPr>
          <w:rFonts w:hint="eastAsia" w:ascii="仿宋" w:hAnsi="仿宋" w:eastAsia="仿宋" w:cs="仿宋"/>
          <w:color w:val="auto"/>
          <w:sz w:val="24"/>
          <w:szCs w:val="24"/>
          <w:highlight w:val="none"/>
        </w:rPr>
      </w:pPr>
    </w:p>
    <w:p w14:paraId="002940AD">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14:paraId="3F41E43F">
      <w:pPr>
        <w:pageBreakBefore w:val="0"/>
        <w:kinsoku/>
        <w:wordWrap/>
        <w:overflowPunct/>
        <w:topLinePunct w:val="0"/>
        <w:autoSpaceDN/>
        <w:bidi w:val="0"/>
        <w:spacing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14:paraId="54D4E69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w:t>
      </w:r>
    </w:p>
    <w:p w14:paraId="4AD9EE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）项目活动，全权代表我方处理谈判活动中的一切事宜。</w:t>
      </w:r>
    </w:p>
    <w:p w14:paraId="669DD43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14:paraId="5B32D7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14:paraId="25843B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0572B60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p>
    <w:p w14:paraId="7616030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14:paraId="3ABF7E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14:paraId="734512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14:paraId="217BBD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14:paraId="0B6DA647">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14:paraId="610732CA">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10C7B83"/>
                          <w:p w14:paraId="2DF2B839"/>
                          <w:p w14:paraId="680A250E">
                            <w:pPr>
                              <w:ind w:left="420" w:firstLine="420"/>
                              <w:rPr>
                                <w:rFonts w:hint="eastAsia" w:ascii="仿宋" w:hAnsi="仿宋" w:eastAsia="仿宋" w:cs="仿宋"/>
                                <w:sz w:val="24"/>
                              </w:rPr>
                            </w:pPr>
                            <w:r>
                              <w:rPr>
                                <w:rFonts w:hint="eastAsia" w:ascii="仿宋" w:hAnsi="仿宋" w:eastAsia="仿宋" w:cs="仿宋"/>
                                <w:sz w:val="24"/>
                              </w:rPr>
                              <w:t>法定代表人身份证</w:t>
                            </w:r>
                          </w:p>
                          <w:p w14:paraId="258536C4">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61312;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14:paraId="410C7B83"/>
                    <w:p w14:paraId="2DF2B839"/>
                    <w:p w14:paraId="680A250E">
                      <w:pPr>
                        <w:ind w:left="420" w:firstLine="420"/>
                        <w:rPr>
                          <w:rFonts w:hint="eastAsia" w:ascii="仿宋" w:hAnsi="仿宋" w:eastAsia="仿宋" w:cs="仿宋"/>
                          <w:sz w:val="24"/>
                        </w:rPr>
                      </w:pPr>
                      <w:r>
                        <w:rPr>
                          <w:rFonts w:hint="eastAsia" w:ascii="仿宋" w:hAnsi="仿宋" w:eastAsia="仿宋" w:cs="仿宋"/>
                          <w:sz w:val="24"/>
                        </w:rPr>
                        <w:t>法定代表人身份证</w:t>
                      </w:r>
                    </w:p>
                    <w:p w14:paraId="258536C4">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F6B2FF9"/>
                          <w:p w14:paraId="5AA2F015">
                            <w:pPr>
                              <w:rPr>
                                <w:rFonts w:hint="eastAsia" w:ascii="仿宋" w:hAnsi="仿宋" w:eastAsia="仿宋" w:cs="仿宋"/>
                              </w:rPr>
                            </w:pPr>
                          </w:p>
                          <w:p w14:paraId="0E272375">
                            <w:pPr>
                              <w:ind w:left="420" w:firstLine="420"/>
                              <w:rPr>
                                <w:rFonts w:hint="eastAsia" w:ascii="仿宋" w:hAnsi="仿宋" w:eastAsia="仿宋" w:cs="仿宋"/>
                                <w:sz w:val="24"/>
                              </w:rPr>
                            </w:pPr>
                            <w:r>
                              <w:rPr>
                                <w:rFonts w:hint="eastAsia" w:ascii="仿宋" w:hAnsi="仿宋" w:eastAsia="仿宋" w:cs="仿宋"/>
                                <w:sz w:val="24"/>
                              </w:rPr>
                              <w:t>法定代表人身份证</w:t>
                            </w:r>
                          </w:p>
                          <w:p w14:paraId="0F610E2E">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4285EDC7">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2336;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14:paraId="4F6B2FF9"/>
                    <w:p w14:paraId="5AA2F015">
                      <w:pPr>
                        <w:rPr>
                          <w:rFonts w:hint="eastAsia" w:ascii="仿宋" w:hAnsi="仿宋" w:eastAsia="仿宋" w:cs="仿宋"/>
                        </w:rPr>
                      </w:pPr>
                    </w:p>
                    <w:p w14:paraId="0E272375">
                      <w:pPr>
                        <w:ind w:left="420" w:firstLine="420"/>
                        <w:rPr>
                          <w:rFonts w:hint="eastAsia" w:ascii="仿宋" w:hAnsi="仿宋" w:eastAsia="仿宋" w:cs="仿宋"/>
                          <w:sz w:val="24"/>
                        </w:rPr>
                      </w:pPr>
                      <w:r>
                        <w:rPr>
                          <w:rFonts w:hint="eastAsia" w:ascii="仿宋" w:hAnsi="仿宋" w:eastAsia="仿宋" w:cs="仿宋"/>
                          <w:sz w:val="24"/>
                        </w:rPr>
                        <w:t>法定代表人身份证</w:t>
                      </w:r>
                    </w:p>
                    <w:p w14:paraId="0F610E2E">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14:paraId="4285EDC7">
                      <w:pPr>
                        <w:rPr>
                          <w:rFonts w:hint="eastAsia" w:ascii="仿宋" w:hAnsi="仿宋" w:eastAsia="仿宋" w:cs="仿宋"/>
                        </w:rPr>
                      </w:pPr>
                    </w:p>
                  </w:txbxContent>
                </v:textbox>
              </v:roundrect>
            </w:pict>
          </mc:Fallback>
        </mc:AlternateContent>
      </w:r>
    </w:p>
    <w:p w14:paraId="302DAC5C">
      <w:pPr>
        <w:spacing w:line="440" w:lineRule="exact"/>
        <w:rPr>
          <w:rFonts w:hint="eastAsia" w:ascii="仿宋" w:hAnsi="仿宋" w:eastAsia="仿宋" w:cs="仿宋"/>
          <w:color w:val="auto"/>
          <w:sz w:val="24"/>
          <w:szCs w:val="24"/>
          <w:highlight w:val="none"/>
        </w:rPr>
      </w:pPr>
    </w:p>
    <w:p w14:paraId="2C4E236C">
      <w:pPr>
        <w:spacing w:line="440" w:lineRule="exact"/>
        <w:rPr>
          <w:rFonts w:hint="eastAsia" w:ascii="仿宋" w:hAnsi="仿宋" w:eastAsia="仿宋" w:cs="仿宋"/>
          <w:color w:val="auto"/>
          <w:sz w:val="24"/>
          <w:szCs w:val="24"/>
          <w:highlight w:val="none"/>
        </w:rPr>
      </w:pPr>
    </w:p>
    <w:p w14:paraId="485D3F07">
      <w:pPr>
        <w:spacing w:line="440" w:lineRule="exact"/>
        <w:rPr>
          <w:rFonts w:hint="eastAsia" w:ascii="仿宋" w:hAnsi="仿宋" w:eastAsia="仿宋" w:cs="仿宋"/>
          <w:color w:val="auto"/>
          <w:sz w:val="24"/>
          <w:szCs w:val="24"/>
          <w:highlight w:val="none"/>
        </w:rPr>
      </w:pPr>
    </w:p>
    <w:p w14:paraId="4B15FD8B">
      <w:pPr>
        <w:spacing w:line="440" w:lineRule="exact"/>
        <w:rPr>
          <w:rFonts w:hint="eastAsia" w:ascii="仿宋" w:hAnsi="仿宋" w:eastAsia="仿宋" w:cs="仿宋"/>
          <w:color w:val="auto"/>
          <w:sz w:val="24"/>
          <w:szCs w:val="24"/>
          <w:highlight w:val="none"/>
        </w:rPr>
      </w:pPr>
    </w:p>
    <w:p w14:paraId="0DEFB612">
      <w:pPr>
        <w:spacing w:line="440" w:lineRule="exact"/>
        <w:rPr>
          <w:rFonts w:hint="eastAsia" w:ascii="仿宋" w:hAnsi="仿宋" w:eastAsia="仿宋" w:cs="仿宋"/>
          <w:color w:val="auto"/>
          <w:sz w:val="24"/>
          <w:szCs w:val="24"/>
          <w:highlight w:val="none"/>
        </w:rPr>
      </w:pPr>
    </w:p>
    <w:p w14:paraId="47DAD97B">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14:paraId="1D0811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77155A5"/>
                          <w:p w14:paraId="0E5A8D68">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5D89C26">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08CB9305"/>
                        </w:txbxContent>
                      </wps:txbx>
                      <wps:bodyPr upright="1"/>
                    </wps:wsp>
                  </a:graphicData>
                </a:graphic>
              </wp:anchor>
            </w:drawing>
          </mc:Choice>
          <mc:Fallback>
            <w:pict>
              <v:roundrect id="_x0000_s1026" o:spid="_x0000_s1026" o:spt="2" style="position:absolute;left:0pt;margin-left:194.6pt;margin-top:8.85pt;height:128.85pt;width:188.3pt;z-index:251664384;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14:paraId="177155A5"/>
                    <w:p w14:paraId="0E5A8D68">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45D89C26">
                      <w:pPr>
                        <w:ind w:firstLine="720" w:firstLineChars="300"/>
                        <w:rPr>
                          <w:rFonts w:hint="eastAsia" w:ascii="仿宋" w:hAnsi="仿宋" w:eastAsia="仿宋" w:cs="仿宋"/>
                          <w:sz w:val="24"/>
                        </w:rPr>
                      </w:pPr>
                      <w:r>
                        <w:rPr>
                          <w:rFonts w:hint="eastAsia" w:ascii="仿宋" w:hAnsi="仿宋" w:eastAsia="仿宋" w:cs="仿宋"/>
                          <w:sz w:val="24"/>
                        </w:rPr>
                        <w:t>（原件扫描件反面）</w:t>
                      </w:r>
                    </w:p>
                    <w:p w14:paraId="08CB9305"/>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099C89D"/>
                          <w:p w14:paraId="6215C8C4">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596C13C2">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3360;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14:paraId="3099C89D"/>
                    <w:p w14:paraId="6215C8C4">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14:paraId="596C13C2">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14:paraId="7F48F75D">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14:paraId="0A024E2D">
      <w:pPr>
        <w:pageBreakBefore w:val="0"/>
        <w:kinsoku/>
        <w:wordWrap/>
        <w:overflowPunct/>
        <w:topLinePunct w:val="0"/>
        <w:autoSpaceDN/>
        <w:bidi w:val="0"/>
        <w:adjustRightInd w:val="0"/>
        <w:snapToGrid w:val="0"/>
        <w:spacing w:line="360" w:lineRule="auto"/>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3-2.4采购文件要求的其他资格证明文件</w:t>
      </w:r>
    </w:p>
    <w:p w14:paraId="484B4E48">
      <w:pPr>
        <w:pStyle w:val="6"/>
        <w:rPr>
          <w:rFonts w:hint="eastAsia" w:ascii="仿宋" w:hAnsi="仿宋" w:eastAsia="仿宋" w:cs="仿宋"/>
          <w:color w:val="auto"/>
          <w:sz w:val="24"/>
          <w:szCs w:val="24"/>
          <w:highlight w:val="none"/>
        </w:rPr>
      </w:pPr>
    </w:p>
    <w:p w14:paraId="3EEDF696">
      <w:pPr>
        <w:spacing w:line="360" w:lineRule="auto"/>
        <w:ind w:firstLine="480" w:firstLineChars="200"/>
        <w:rPr>
          <w:rFonts w:hint="eastAsia" w:ascii="仿宋" w:hAnsi="仿宋" w:eastAsia="仿宋" w:cs="仿宋"/>
          <w:color w:val="auto"/>
          <w:sz w:val="24"/>
          <w:szCs w:val="24"/>
        </w:rPr>
      </w:pPr>
    </w:p>
    <w:p w14:paraId="4E536E45">
      <w:pPr>
        <w:spacing w:line="360" w:lineRule="auto"/>
        <w:ind w:firstLine="480" w:firstLineChars="200"/>
        <w:rPr>
          <w:rFonts w:hint="eastAsia" w:ascii="仿宋" w:hAnsi="仿宋" w:eastAsia="仿宋" w:cs="仿宋"/>
          <w:color w:val="auto"/>
          <w:sz w:val="24"/>
          <w:szCs w:val="24"/>
        </w:rPr>
      </w:pPr>
    </w:p>
    <w:p w14:paraId="41E64763">
      <w:pPr>
        <w:spacing w:line="360" w:lineRule="auto"/>
        <w:ind w:firstLine="480" w:firstLineChars="200"/>
        <w:rPr>
          <w:rFonts w:hint="eastAsia" w:ascii="仿宋" w:hAnsi="仿宋" w:eastAsia="仿宋" w:cs="仿宋"/>
          <w:color w:val="auto"/>
          <w:sz w:val="24"/>
          <w:szCs w:val="24"/>
        </w:rPr>
      </w:pPr>
    </w:p>
    <w:p w14:paraId="3C0BEEE2">
      <w:pPr>
        <w:spacing w:line="360" w:lineRule="auto"/>
        <w:ind w:firstLine="480" w:firstLineChars="200"/>
        <w:rPr>
          <w:rFonts w:hint="eastAsia" w:ascii="仿宋" w:hAnsi="仿宋" w:eastAsia="仿宋" w:cs="仿宋"/>
          <w:color w:val="auto"/>
          <w:sz w:val="24"/>
          <w:szCs w:val="24"/>
        </w:rPr>
      </w:pPr>
    </w:p>
    <w:p w14:paraId="30CBF0E9">
      <w:pPr>
        <w:spacing w:line="360" w:lineRule="auto"/>
        <w:ind w:firstLine="480" w:firstLineChars="200"/>
        <w:rPr>
          <w:rFonts w:hint="eastAsia" w:ascii="仿宋" w:hAnsi="仿宋" w:eastAsia="仿宋" w:cs="仿宋"/>
          <w:color w:val="auto"/>
          <w:sz w:val="24"/>
          <w:szCs w:val="24"/>
        </w:rPr>
      </w:pPr>
    </w:p>
    <w:p w14:paraId="2EC2151A">
      <w:pPr>
        <w:spacing w:line="360" w:lineRule="auto"/>
        <w:ind w:firstLine="480" w:firstLineChars="200"/>
        <w:rPr>
          <w:rFonts w:hint="eastAsia" w:ascii="仿宋" w:hAnsi="仿宋" w:eastAsia="仿宋" w:cs="仿宋"/>
          <w:color w:val="auto"/>
          <w:sz w:val="24"/>
          <w:szCs w:val="24"/>
        </w:rPr>
      </w:pPr>
    </w:p>
    <w:p w14:paraId="2408289E">
      <w:pPr>
        <w:spacing w:line="360" w:lineRule="auto"/>
        <w:ind w:firstLine="480" w:firstLineChars="200"/>
        <w:rPr>
          <w:rFonts w:hint="eastAsia" w:ascii="仿宋" w:hAnsi="仿宋" w:eastAsia="仿宋" w:cs="仿宋"/>
          <w:color w:val="auto"/>
          <w:sz w:val="24"/>
          <w:szCs w:val="24"/>
        </w:rPr>
      </w:pPr>
    </w:p>
    <w:p w14:paraId="14AB8FEC">
      <w:pPr>
        <w:spacing w:line="360" w:lineRule="auto"/>
        <w:ind w:firstLine="480" w:firstLineChars="200"/>
        <w:rPr>
          <w:rFonts w:hint="eastAsia" w:ascii="仿宋" w:hAnsi="仿宋" w:eastAsia="仿宋" w:cs="仿宋"/>
          <w:color w:val="auto"/>
          <w:sz w:val="24"/>
          <w:szCs w:val="24"/>
        </w:rPr>
      </w:pPr>
    </w:p>
    <w:p w14:paraId="7957E781">
      <w:pPr>
        <w:spacing w:line="360" w:lineRule="auto"/>
        <w:ind w:firstLine="480" w:firstLineChars="200"/>
        <w:rPr>
          <w:rFonts w:hint="eastAsia" w:ascii="仿宋" w:hAnsi="仿宋" w:eastAsia="仿宋" w:cs="仿宋"/>
          <w:color w:val="auto"/>
          <w:sz w:val="24"/>
          <w:szCs w:val="24"/>
        </w:rPr>
      </w:pPr>
    </w:p>
    <w:p w14:paraId="67752320">
      <w:pPr>
        <w:spacing w:line="360" w:lineRule="auto"/>
        <w:ind w:firstLine="480" w:firstLineChars="200"/>
        <w:rPr>
          <w:rFonts w:hint="eastAsia" w:ascii="仿宋" w:hAnsi="仿宋" w:eastAsia="仿宋" w:cs="仿宋"/>
          <w:color w:val="auto"/>
          <w:sz w:val="24"/>
          <w:szCs w:val="24"/>
        </w:rPr>
      </w:pPr>
    </w:p>
    <w:p w14:paraId="0DB4DE9F">
      <w:pPr>
        <w:pStyle w:val="6"/>
        <w:rPr>
          <w:rFonts w:hint="eastAsia" w:ascii="仿宋" w:hAnsi="仿宋" w:eastAsia="仿宋" w:cs="仿宋"/>
          <w:color w:val="auto"/>
          <w:sz w:val="24"/>
          <w:szCs w:val="24"/>
        </w:rPr>
      </w:pPr>
    </w:p>
    <w:p w14:paraId="756F09DA">
      <w:pPr>
        <w:pStyle w:val="6"/>
        <w:rPr>
          <w:rFonts w:hint="eastAsia" w:ascii="仿宋" w:hAnsi="仿宋" w:eastAsia="仿宋" w:cs="仿宋"/>
          <w:color w:val="auto"/>
          <w:sz w:val="24"/>
          <w:szCs w:val="24"/>
        </w:rPr>
      </w:pPr>
    </w:p>
    <w:p w14:paraId="783A2BFF">
      <w:pPr>
        <w:pStyle w:val="6"/>
        <w:rPr>
          <w:rFonts w:hint="eastAsia" w:ascii="仿宋" w:hAnsi="仿宋" w:eastAsia="仿宋" w:cs="仿宋"/>
          <w:color w:val="auto"/>
          <w:sz w:val="24"/>
          <w:szCs w:val="24"/>
        </w:rPr>
      </w:pPr>
    </w:p>
    <w:p w14:paraId="3A3478DE">
      <w:pPr>
        <w:pStyle w:val="6"/>
        <w:rPr>
          <w:rFonts w:hint="eastAsia" w:ascii="仿宋" w:hAnsi="仿宋" w:eastAsia="仿宋" w:cs="仿宋"/>
          <w:color w:val="auto"/>
          <w:sz w:val="24"/>
          <w:szCs w:val="24"/>
        </w:rPr>
      </w:pPr>
    </w:p>
    <w:p w14:paraId="5C552C0A">
      <w:pPr>
        <w:pStyle w:val="6"/>
        <w:rPr>
          <w:rFonts w:hint="eastAsia" w:ascii="仿宋" w:hAnsi="仿宋" w:eastAsia="仿宋" w:cs="仿宋"/>
          <w:color w:val="auto"/>
          <w:sz w:val="24"/>
          <w:szCs w:val="24"/>
        </w:rPr>
      </w:pPr>
    </w:p>
    <w:p w14:paraId="6169D838">
      <w:pPr>
        <w:pStyle w:val="6"/>
        <w:rPr>
          <w:rFonts w:hint="eastAsia" w:ascii="仿宋" w:hAnsi="仿宋" w:eastAsia="仿宋" w:cs="仿宋"/>
          <w:color w:val="auto"/>
          <w:sz w:val="24"/>
          <w:szCs w:val="24"/>
        </w:rPr>
      </w:pPr>
    </w:p>
    <w:p w14:paraId="29B6A87B">
      <w:pPr>
        <w:pStyle w:val="6"/>
        <w:rPr>
          <w:rFonts w:hint="eastAsia" w:ascii="仿宋" w:hAnsi="仿宋" w:eastAsia="仿宋" w:cs="仿宋"/>
          <w:color w:val="auto"/>
          <w:sz w:val="24"/>
          <w:szCs w:val="24"/>
        </w:rPr>
      </w:pPr>
    </w:p>
    <w:p w14:paraId="64106556">
      <w:pPr>
        <w:pStyle w:val="6"/>
        <w:rPr>
          <w:rFonts w:hint="eastAsia" w:ascii="仿宋" w:hAnsi="仿宋" w:eastAsia="仿宋" w:cs="仿宋"/>
          <w:color w:val="auto"/>
          <w:sz w:val="24"/>
          <w:szCs w:val="24"/>
        </w:rPr>
      </w:pPr>
    </w:p>
    <w:p w14:paraId="330465AB">
      <w:pPr>
        <w:pStyle w:val="6"/>
        <w:rPr>
          <w:rFonts w:hint="eastAsia" w:ascii="仿宋" w:hAnsi="仿宋" w:eastAsia="仿宋" w:cs="仿宋"/>
          <w:color w:val="auto"/>
          <w:sz w:val="24"/>
          <w:szCs w:val="24"/>
        </w:rPr>
      </w:pPr>
    </w:p>
    <w:p w14:paraId="1A1447D2">
      <w:pPr>
        <w:pStyle w:val="6"/>
        <w:rPr>
          <w:rFonts w:hint="eastAsia" w:ascii="仿宋" w:hAnsi="仿宋" w:eastAsia="仿宋" w:cs="仿宋"/>
          <w:color w:val="auto"/>
          <w:sz w:val="24"/>
          <w:szCs w:val="24"/>
        </w:rPr>
      </w:pPr>
    </w:p>
    <w:p w14:paraId="3C21292E">
      <w:pPr>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p>
    <w:p w14:paraId="0BAEEF36">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密封报价文件格式</w:t>
      </w:r>
    </w:p>
    <w:p w14:paraId="5C6B6952">
      <w:pP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anchor distT="0" distB="0" distL="114300" distR="114300" simplePos="0" relativeHeight="251659264" behindDoc="0" locked="0" layoutInCell="1" allowOverlap="1">
            <wp:simplePos x="0" y="0"/>
            <wp:positionH relativeFrom="column">
              <wp:posOffset>-845185</wp:posOffset>
            </wp:positionH>
            <wp:positionV relativeFrom="paragraph">
              <wp:posOffset>403225</wp:posOffset>
            </wp:positionV>
            <wp:extent cx="3416935" cy="4636770"/>
            <wp:effectExtent l="0" t="0" r="12065" b="11430"/>
            <wp:wrapSquare wrapText="bothSides"/>
            <wp:docPr id="1" name="图片 1"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fbee6a3a9797c631237beccf0f26c"/>
                    <pic:cNvPicPr>
                      <a:picLocks noChangeAspect="1"/>
                    </pic:cNvPicPr>
                  </pic:nvPicPr>
                  <pic:blipFill>
                    <a:blip r:embed="rId5"/>
                    <a:stretch>
                      <a:fillRect/>
                    </a:stretch>
                  </pic:blipFill>
                  <pic:spPr>
                    <a:xfrm>
                      <a:off x="0" y="0"/>
                      <a:ext cx="3416935" cy="4636770"/>
                    </a:xfrm>
                    <a:prstGeom prst="rect">
                      <a:avLst/>
                    </a:prstGeom>
                  </pic:spPr>
                </pic:pic>
              </a:graphicData>
            </a:graphic>
          </wp:anchor>
        </w:drawing>
      </w:r>
      <w:r>
        <w:rPr>
          <w:rFonts w:hint="eastAsia" w:ascii="仿宋" w:hAnsi="仿宋" w:eastAsia="仿宋" w:cs="仿宋"/>
          <w:b/>
          <w:bCs/>
          <w:color w:val="auto"/>
          <w:sz w:val="24"/>
          <w:szCs w:val="24"/>
        </w:rPr>
        <w:drawing>
          <wp:anchor distT="0" distB="0" distL="114300" distR="114300" simplePos="0" relativeHeight="251660288" behindDoc="0" locked="0" layoutInCell="1" allowOverlap="1">
            <wp:simplePos x="0" y="0"/>
            <wp:positionH relativeFrom="column">
              <wp:posOffset>2676525</wp:posOffset>
            </wp:positionH>
            <wp:positionV relativeFrom="paragraph">
              <wp:posOffset>429895</wp:posOffset>
            </wp:positionV>
            <wp:extent cx="3541395" cy="4707890"/>
            <wp:effectExtent l="0" t="0" r="1905" b="16510"/>
            <wp:wrapSquare wrapText="bothSides"/>
            <wp:docPr id="2" name="图片 2" descr="3b67cb5df47d682efded3bb8e13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67cb5df47d682efded3bb8e130451"/>
                    <pic:cNvPicPr>
                      <a:picLocks noChangeAspect="1"/>
                    </pic:cNvPicPr>
                  </pic:nvPicPr>
                  <pic:blipFill>
                    <a:blip r:embed="rId6"/>
                    <a:stretch>
                      <a:fillRect/>
                    </a:stretch>
                  </pic:blipFill>
                  <pic:spPr>
                    <a:xfrm>
                      <a:off x="0" y="0"/>
                      <a:ext cx="3541395" cy="4707890"/>
                    </a:xfrm>
                    <a:prstGeom prst="rect">
                      <a:avLst/>
                    </a:prstGeom>
                  </pic:spPr>
                </pic:pic>
              </a:graphicData>
            </a:graphic>
          </wp:anchor>
        </w:drawing>
      </w:r>
    </w:p>
    <w:p w14:paraId="2FF08948">
      <w:pPr>
        <w:rPr>
          <w:color w:val="auto"/>
        </w:rPr>
      </w:pPr>
    </w:p>
    <w:p w14:paraId="69751AF9">
      <w:pPr>
        <w:pStyle w:val="6"/>
        <w:rPr>
          <w:color w:val="auto"/>
        </w:rPr>
      </w:pPr>
    </w:p>
    <w:p w14:paraId="1BE97561">
      <w:pPr>
        <w:pStyle w:val="6"/>
        <w:rPr>
          <w:color w:val="auto"/>
        </w:rPr>
      </w:pPr>
    </w:p>
    <w:p w14:paraId="2646F511">
      <w:pPr>
        <w:pStyle w:val="6"/>
        <w:rPr>
          <w:color w:val="auto"/>
        </w:rPr>
      </w:pPr>
    </w:p>
    <w:p w14:paraId="10C21E44">
      <w:pPr>
        <w:pStyle w:val="6"/>
        <w:rPr>
          <w:color w:val="auto"/>
        </w:rPr>
      </w:pPr>
    </w:p>
    <w:p w14:paraId="292C6450">
      <w:pPr>
        <w:pStyle w:val="6"/>
        <w:rPr>
          <w:rFonts w:hint="default"/>
          <w:color w:val="auto"/>
          <w:lang w:val="en-US" w:eastAsia="zh-CN"/>
        </w:rPr>
      </w:pPr>
    </w:p>
    <w:sectPr>
      <w:footerReference r:id="rId3" w:type="default"/>
      <w:pgSz w:w="11906" w:h="16838"/>
      <w:pgMar w:top="1440" w:right="1797" w:bottom="1440" w:left="1797" w:header="851" w:footer="992" w:gutter="0"/>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686A3E1-E08A-4142-A6A3-9D45DA066A4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B23A8EB-1DDB-4F7F-BD97-0CD56774CC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E0F7DFE1-E978-4B49-9CB5-66B770032F85}"/>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4" w:fontKey="{78DDF473-4479-4438-8DDF-8D0F15055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1630910"/>
    </w:sdtPr>
    <w:sdtContent>
      <w:p w14:paraId="11E92277">
        <w:pPr>
          <w:pStyle w:val="7"/>
          <w:jc w:val="center"/>
        </w:pPr>
        <w:r>
          <w:fldChar w:fldCharType="begin"/>
        </w:r>
        <w:r>
          <w:instrText xml:space="preserve">PAGE   \* MERGEFORMAT</w:instrText>
        </w:r>
        <w:r>
          <w:fldChar w:fldCharType="separate"/>
        </w:r>
        <w:r>
          <w:rPr>
            <w:lang w:val="zh-CN"/>
          </w:rPr>
          <w:t>18</w:t>
        </w:r>
        <w:r>
          <w:fldChar w:fldCharType="end"/>
        </w:r>
      </w:p>
    </w:sdtContent>
  </w:sdt>
  <w:p w14:paraId="0CE2DF1C">
    <w:pPr>
      <w:pStyle w:val="7"/>
    </w:pPr>
  </w:p>
  <w:p w14:paraId="78269EC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6D09B"/>
    <w:multiLevelType w:val="singleLevel"/>
    <w:tmpl w:val="A076D09B"/>
    <w:lvl w:ilvl="0" w:tentative="0">
      <w:start w:val="1"/>
      <w:numFmt w:val="chineseCounting"/>
      <w:suff w:val="nothing"/>
      <w:lvlText w:val="%1、"/>
      <w:lvlJc w:val="left"/>
      <w:rPr>
        <w:rFonts w:hint="eastAsia"/>
      </w:rPr>
    </w:lvl>
  </w:abstractNum>
  <w:abstractNum w:abstractNumId="1">
    <w:nsid w:val="7BDE6B19"/>
    <w:multiLevelType w:val="singleLevel"/>
    <w:tmpl w:val="7BDE6B1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mZGJjNWQzZmM5MGMxZTAzOTA0Mjg0M2ZiYmZkYTUifQ=="/>
  </w:docVars>
  <w:rsids>
    <w:rsidRoot w:val="0E8C5BF6"/>
    <w:rsid w:val="00297FDB"/>
    <w:rsid w:val="00306B0B"/>
    <w:rsid w:val="00385065"/>
    <w:rsid w:val="0046375D"/>
    <w:rsid w:val="00993985"/>
    <w:rsid w:val="00A867C0"/>
    <w:rsid w:val="00AE76D6"/>
    <w:rsid w:val="00B65389"/>
    <w:rsid w:val="00E12A97"/>
    <w:rsid w:val="00F16EAD"/>
    <w:rsid w:val="014957E1"/>
    <w:rsid w:val="01635C49"/>
    <w:rsid w:val="02600F93"/>
    <w:rsid w:val="02693733"/>
    <w:rsid w:val="02785724"/>
    <w:rsid w:val="028F4FEA"/>
    <w:rsid w:val="03147DD7"/>
    <w:rsid w:val="037203C5"/>
    <w:rsid w:val="03864FD6"/>
    <w:rsid w:val="04CA5FEF"/>
    <w:rsid w:val="04EF43C3"/>
    <w:rsid w:val="051C3E63"/>
    <w:rsid w:val="05AD3936"/>
    <w:rsid w:val="06042C8B"/>
    <w:rsid w:val="063D2F0C"/>
    <w:rsid w:val="06D210FD"/>
    <w:rsid w:val="076B1CFB"/>
    <w:rsid w:val="07E922B8"/>
    <w:rsid w:val="083D3697"/>
    <w:rsid w:val="08514A4D"/>
    <w:rsid w:val="099F7A3A"/>
    <w:rsid w:val="0A1D552E"/>
    <w:rsid w:val="0A363BE8"/>
    <w:rsid w:val="0B21104E"/>
    <w:rsid w:val="0B634841"/>
    <w:rsid w:val="0CCA2135"/>
    <w:rsid w:val="0DB066B9"/>
    <w:rsid w:val="0DF8775C"/>
    <w:rsid w:val="0E303356"/>
    <w:rsid w:val="0E8C5BF6"/>
    <w:rsid w:val="0E95287C"/>
    <w:rsid w:val="0EAA49BD"/>
    <w:rsid w:val="0F334EAC"/>
    <w:rsid w:val="1012294B"/>
    <w:rsid w:val="101D790A"/>
    <w:rsid w:val="107D5080"/>
    <w:rsid w:val="10E02E12"/>
    <w:rsid w:val="11545AE0"/>
    <w:rsid w:val="11EC57E6"/>
    <w:rsid w:val="12923ED4"/>
    <w:rsid w:val="137538EC"/>
    <w:rsid w:val="139B6D80"/>
    <w:rsid w:val="13AD4DEB"/>
    <w:rsid w:val="13AE369B"/>
    <w:rsid w:val="13F76DF0"/>
    <w:rsid w:val="14956609"/>
    <w:rsid w:val="14ED01F3"/>
    <w:rsid w:val="14FE1CF4"/>
    <w:rsid w:val="15FA677C"/>
    <w:rsid w:val="165501A8"/>
    <w:rsid w:val="16D638E5"/>
    <w:rsid w:val="17550525"/>
    <w:rsid w:val="17FB49D5"/>
    <w:rsid w:val="18253C2D"/>
    <w:rsid w:val="184830D4"/>
    <w:rsid w:val="18601612"/>
    <w:rsid w:val="186662F2"/>
    <w:rsid w:val="18673071"/>
    <w:rsid w:val="192F5006"/>
    <w:rsid w:val="199C7AF2"/>
    <w:rsid w:val="1ABF512B"/>
    <w:rsid w:val="1AC31D27"/>
    <w:rsid w:val="1B4D4650"/>
    <w:rsid w:val="1B7739D8"/>
    <w:rsid w:val="1BAC6712"/>
    <w:rsid w:val="1C882BC9"/>
    <w:rsid w:val="1CC61A56"/>
    <w:rsid w:val="1DB01336"/>
    <w:rsid w:val="1E4B0F80"/>
    <w:rsid w:val="1F0F55FE"/>
    <w:rsid w:val="1F3709E9"/>
    <w:rsid w:val="1FD824D4"/>
    <w:rsid w:val="1FF21D09"/>
    <w:rsid w:val="204A2616"/>
    <w:rsid w:val="20D10FBE"/>
    <w:rsid w:val="21251D3B"/>
    <w:rsid w:val="22010FB9"/>
    <w:rsid w:val="22083A9D"/>
    <w:rsid w:val="227C4964"/>
    <w:rsid w:val="22A939AB"/>
    <w:rsid w:val="22CD6F6E"/>
    <w:rsid w:val="2305495A"/>
    <w:rsid w:val="234553E7"/>
    <w:rsid w:val="23706277"/>
    <w:rsid w:val="241E2177"/>
    <w:rsid w:val="24885B80"/>
    <w:rsid w:val="252F3F10"/>
    <w:rsid w:val="2538397D"/>
    <w:rsid w:val="25387269"/>
    <w:rsid w:val="2560231B"/>
    <w:rsid w:val="25981050"/>
    <w:rsid w:val="25FA05B1"/>
    <w:rsid w:val="268838D8"/>
    <w:rsid w:val="268A786D"/>
    <w:rsid w:val="26A87129"/>
    <w:rsid w:val="26BF3B1F"/>
    <w:rsid w:val="275A1718"/>
    <w:rsid w:val="27D85854"/>
    <w:rsid w:val="2894285F"/>
    <w:rsid w:val="292E7D5E"/>
    <w:rsid w:val="2964062C"/>
    <w:rsid w:val="29991187"/>
    <w:rsid w:val="29BA27B9"/>
    <w:rsid w:val="2AD81A47"/>
    <w:rsid w:val="2AFC2AE6"/>
    <w:rsid w:val="2C1B0D4A"/>
    <w:rsid w:val="2CF26452"/>
    <w:rsid w:val="2DB0477A"/>
    <w:rsid w:val="2DCC6815"/>
    <w:rsid w:val="2DF85A94"/>
    <w:rsid w:val="2E92315B"/>
    <w:rsid w:val="2EB72FAC"/>
    <w:rsid w:val="2EB931C8"/>
    <w:rsid w:val="2F3D1134"/>
    <w:rsid w:val="308A649E"/>
    <w:rsid w:val="30D537E3"/>
    <w:rsid w:val="30F85AFE"/>
    <w:rsid w:val="314470A6"/>
    <w:rsid w:val="315635D6"/>
    <w:rsid w:val="320152F9"/>
    <w:rsid w:val="325D20BC"/>
    <w:rsid w:val="32DF4A4A"/>
    <w:rsid w:val="33530283"/>
    <w:rsid w:val="335A2AA0"/>
    <w:rsid w:val="33B95A18"/>
    <w:rsid w:val="343230D5"/>
    <w:rsid w:val="350D7BF8"/>
    <w:rsid w:val="353C14F7"/>
    <w:rsid w:val="355754E9"/>
    <w:rsid w:val="35791DA0"/>
    <w:rsid w:val="35BD44BA"/>
    <w:rsid w:val="36415851"/>
    <w:rsid w:val="36932551"/>
    <w:rsid w:val="37901B33"/>
    <w:rsid w:val="37983B97"/>
    <w:rsid w:val="37CA5672"/>
    <w:rsid w:val="38F90665"/>
    <w:rsid w:val="39241B86"/>
    <w:rsid w:val="397F500E"/>
    <w:rsid w:val="39995F25"/>
    <w:rsid w:val="39AB7BB1"/>
    <w:rsid w:val="39B84EB2"/>
    <w:rsid w:val="3A0B5091"/>
    <w:rsid w:val="3A382CF2"/>
    <w:rsid w:val="3A6366DE"/>
    <w:rsid w:val="3B1874C8"/>
    <w:rsid w:val="3B334F0C"/>
    <w:rsid w:val="3B750477"/>
    <w:rsid w:val="3C860B25"/>
    <w:rsid w:val="3CE07B72"/>
    <w:rsid w:val="3D4304EB"/>
    <w:rsid w:val="3D9C5843"/>
    <w:rsid w:val="3DEE1AB8"/>
    <w:rsid w:val="3E18158D"/>
    <w:rsid w:val="3EE40159"/>
    <w:rsid w:val="3F147FA7"/>
    <w:rsid w:val="3FB10448"/>
    <w:rsid w:val="3FDF6807"/>
    <w:rsid w:val="40326EDC"/>
    <w:rsid w:val="40632526"/>
    <w:rsid w:val="40706A49"/>
    <w:rsid w:val="40D07EFD"/>
    <w:rsid w:val="41481E3A"/>
    <w:rsid w:val="414A73BA"/>
    <w:rsid w:val="416A2100"/>
    <w:rsid w:val="42224789"/>
    <w:rsid w:val="42323C10"/>
    <w:rsid w:val="427C0E32"/>
    <w:rsid w:val="428B4A24"/>
    <w:rsid w:val="42980EEF"/>
    <w:rsid w:val="42A162B0"/>
    <w:rsid w:val="42AB439A"/>
    <w:rsid w:val="433724B6"/>
    <w:rsid w:val="43F80C3C"/>
    <w:rsid w:val="43F87555"/>
    <w:rsid w:val="4440063C"/>
    <w:rsid w:val="444379E1"/>
    <w:rsid w:val="4497145A"/>
    <w:rsid w:val="44A97B34"/>
    <w:rsid w:val="462744E0"/>
    <w:rsid w:val="466305A2"/>
    <w:rsid w:val="4693181E"/>
    <w:rsid w:val="474A038E"/>
    <w:rsid w:val="47935CF1"/>
    <w:rsid w:val="479E48B1"/>
    <w:rsid w:val="47EF5032"/>
    <w:rsid w:val="485D43CE"/>
    <w:rsid w:val="48D53D22"/>
    <w:rsid w:val="490975E0"/>
    <w:rsid w:val="4919662F"/>
    <w:rsid w:val="49804BB7"/>
    <w:rsid w:val="49D13DF3"/>
    <w:rsid w:val="4A031344"/>
    <w:rsid w:val="4A0550BC"/>
    <w:rsid w:val="4A4434BC"/>
    <w:rsid w:val="4AF31F03"/>
    <w:rsid w:val="4B63653E"/>
    <w:rsid w:val="4B65502D"/>
    <w:rsid w:val="4C2130C1"/>
    <w:rsid w:val="4CD456D3"/>
    <w:rsid w:val="4CF91100"/>
    <w:rsid w:val="4D50664E"/>
    <w:rsid w:val="4D665E71"/>
    <w:rsid w:val="4DE90991"/>
    <w:rsid w:val="4DFF1E22"/>
    <w:rsid w:val="4E5C216F"/>
    <w:rsid w:val="4EB66985"/>
    <w:rsid w:val="4EDF22B7"/>
    <w:rsid w:val="4F4E06F4"/>
    <w:rsid w:val="4F665A69"/>
    <w:rsid w:val="4F6C34E7"/>
    <w:rsid w:val="50091488"/>
    <w:rsid w:val="50120532"/>
    <w:rsid w:val="50240523"/>
    <w:rsid w:val="503A0BCD"/>
    <w:rsid w:val="50CF3D2E"/>
    <w:rsid w:val="50F90B06"/>
    <w:rsid w:val="51A44F19"/>
    <w:rsid w:val="51A471F1"/>
    <w:rsid w:val="51E952C3"/>
    <w:rsid w:val="521440B3"/>
    <w:rsid w:val="521F6F37"/>
    <w:rsid w:val="52C51605"/>
    <w:rsid w:val="532419D8"/>
    <w:rsid w:val="53313469"/>
    <w:rsid w:val="53451153"/>
    <w:rsid w:val="536203AC"/>
    <w:rsid w:val="53942DE9"/>
    <w:rsid w:val="53CE651E"/>
    <w:rsid w:val="53DE43DF"/>
    <w:rsid w:val="54890697"/>
    <w:rsid w:val="548B13E0"/>
    <w:rsid w:val="54CA797C"/>
    <w:rsid w:val="54DA7145"/>
    <w:rsid w:val="552A1E7A"/>
    <w:rsid w:val="565B7119"/>
    <w:rsid w:val="56835ED4"/>
    <w:rsid w:val="5698683F"/>
    <w:rsid w:val="56A27393"/>
    <w:rsid w:val="56B934B6"/>
    <w:rsid w:val="56EA194A"/>
    <w:rsid w:val="5726000E"/>
    <w:rsid w:val="578D66F1"/>
    <w:rsid w:val="57A9647A"/>
    <w:rsid w:val="57AC4DC9"/>
    <w:rsid w:val="57CF6D09"/>
    <w:rsid w:val="58240E03"/>
    <w:rsid w:val="58607961"/>
    <w:rsid w:val="58BE3005"/>
    <w:rsid w:val="592310BA"/>
    <w:rsid w:val="59B461B6"/>
    <w:rsid w:val="5AB337FA"/>
    <w:rsid w:val="5B1C2265"/>
    <w:rsid w:val="5B4456A9"/>
    <w:rsid w:val="5B461090"/>
    <w:rsid w:val="5B653C0C"/>
    <w:rsid w:val="5BAA29F8"/>
    <w:rsid w:val="5BC87CF7"/>
    <w:rsid w:val="5BDB5C7C"/>
    <w:rsid w:val="5C1271C4"/>
    <w:rsid w:val="5C166CB5"/>
    <w:rsid w:val="5C2018E1"/>
    <w:rsid w:val="5CB85FBE"/>
    <w:rsid w:val="5CE215C9"/>
    <w:rsid w:val="5D5E4A10"/>
    <w:rsid w:val="5D9E3405"/>
    <w:rsid w:val="5F074826"/>
    <w:rsid w:val="5FAA009F"/>
    <w:rsid w:val="5FB213EA"/>
    <w:rsid w:val="5FCD1D80"/>
    <w:rsid w:val="6014175D"/>
    <w:rsid w:val="604E4AF5"/>
    <w:rsid w:val="60B3541A"/>
    <w:rsid w:val="611759A9"/>
    <w:rsid w:val="618038BB"/>
    <w:rsid w:val="61AB7E7E"/>
    <w:rsid w:val="61DF3FED"/>
    <w:rsid w:val="62B45479"/>
    <w:rsid w:val="62B83C2F"/>
    <w:rsid w:val="636522D0"/>
    <w:rsid w:val="637F26FC"/>
    <w:rsid w:val="639D68BF"/>
    <w:rsid w:val="63B03E93"/>
    <w:rsid w:val="63E80B4C"/>
    <w:rsid w:val="647B624F"/>
    <w:rsid w:val="64836EB1"/>
    <w:rsid w:val="651E6BDA"/>
    <w:rsid w:val="65A83330"/>
    <w:rsid w:val="65D4374A"/>
    <w:rsid w:val="677857A7"/>
    <w:rsid w:val="6788704C"/>
    <w:rsid w:val="683A6402"/>
    <w:rsid w:val="68642A54"/>
    <w:rsid w:val="68B7537B"/>
    <w:rsid w:val="68BC6BB1"/>
    <w:rsid w:val="69017E2E"/>
    <w:rsid w:val="691E53FA"/>
    <w:rsid w:val="6A1F58CE"/>
    <w:rsid w:val="6A3776E5"/>
    <w:rsid w:val="6A38019B"/>
    <w:rsid w:val="6A7A48B2"/>
    <w:rsid w:val="6B431E84"/>
    <w:rsid w:val="6BB107A8"/>
    <w:rsid w:val="6BE04485"/>
    <w:rsid w:val="6C0E1756"/>
    <w:rsid w:val="6C3739ED"/>
    <w:rsid w:val="6C377870"/>
    <w:rsid w:val="6C495623"/>
    <w:rsid w:val="6CAB51F7"/>
    <w:rsid w:val="6CE018AB"/>
    <w:rsid w:val="6CF05300"/>
    <w:rsid w:val="6D064B23"/>
    <w:rsid w:val="6D5D28F4"/>
    <w:rsid w:val="6D77332B"/>
    <w:rsid w:val="6D8F68C7"/>
    <w:rsid w:val="6DD30EA9"/>
    <w:rsid w:val="6E2B2A93"/>
    <w:rsid w:val="6E5B53AF"/>
    <w:rsid w:val="6EA0396F"/>
    <w:rsid w:val="6EE54C0E"/>
    <w:rsid w:val="6F4220FC"/>
    <w:rsid w:val="6FAF4FFE"/>
    <w:rsid w:val="6FB97DC4"/>
    <w:rsid w:val="6FBB39A3"/>
    <w:rsid w:val="6FC870F1"/>
    <w:rsid w:val="6FD40F09"/>
    <w:rsid w:val="6FF956E9"/>
    <w:rsid w:val="70833EA8"/>
    <w:rsid w:val="70BE6DF2"/>
    <w:rsid w:val="71256BF6"/>
    <w:rsid w:val="715A2C52"/>
    <w:rsid w:val="719E357C"/>
    <w:rsid w:val="71D376CA"/>
    <w:rsid w:val="723D0FE7"/>
    <w:rsid w:val="7294743D"/>
    <w:rsid w:val="73245D03"/>
    <w:rsid w:val="735D6164"/>
    <w:rsid w:val="73847456"/>
    <w:rsid w:val="74713E21"/>
    <w:rsid w:val="74766211"/>
    <w:rsid w:val="74837E8E"/>
    <w:rsid w:val="75614FED"/>
    <w:rsid w:val="75962343"/>
    <w:rsid w:val="75E04B1D"/>
    <w:rsid w:val="763149BF"/>
    <w:rsid w:val="76A35191"/>
    <w:rsid w:val="76D45086"/>
    <w:rsid w:val="771B741D"/>
    <w:rsid w:val="7879089F"/>
    <w:rsid w:val="787943FB"/>
    <w:rsid w:val="78CE4AAA"/>
    <w:rsid w:val="794E7F9D"/>
    <w:rsid w:val="79E9735F"/>
    <w:rsid w:val="7A9546D6"/>
    <w:rsid w:val="7AB2122E"/>
    <w:rsid w:val="7AC00E79"/>
    <w:rsid w:val="7AFB37ED"/>
    <w:rsid w:val="7B2F5245"/>
    <w:rsid w:val="7B881772"/>
    <w:rsid w:val="7C4E5B9F"/>
    <w:rsid w:val="7D5A7F6C"/>
    <w:rsid w:val="7DDC0479"/>
    <w:rsid w:val="7E096221"/>
    <w:rsid w:val="7E840413"/>
    <w:rsid w:val="7E9843E7"/>
    <w:rsid w:val="7F3B2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 w:hAnsi="Times New Roman" w:eastAsia="仿宋" w:cstheme="minorBidi"/>
      <w:kern w:val="2"/>
      <w:sz w:val="28"/>
      <w:szCs w:val="22"/>
      <w:lang w:val="en-US" w:eastAsia="zh-CN" w:bidi="ar-SA"/>
    </w:rPr>
  </w:style>
  <w:style w:type="paragraph" w:styleId="2">
    <w:name w:val="heading 1"/>
    <w:basedOn w:val="1"/>
    <w:next w:val="1"/>
    <w:autoRedefine/>
    <w:qFormat/>
    <w:uiPriority w:val="9"/>
    <w:pPr>
      <w:keepNext/>
      <w:keepLines/>
      <w:spacing w:before="240" w:after="240"/>
      <w:jc w:val="center"/>
      <w:outlineLvl w:val="0"/>
    </w:pPr>
    <w:rPr>
      <w:b/>
      <w:bCs/>
      <w:kern w:val="44"/>
      <w:sz w:val="32"/>
      <w:szCs w:val="44"/>
    </w:rPr>
  </w:style>
  <w:style w:type="paragraph" w:styleId="3">
    <w:name w:val="heading 2"/>
    <w:basedOn w:val="1"/>
    <w:next w:val="1"/>
    <w:link w:val="12"/>
    <w:autoRedefine/>
    <w:unhideWhenUsed/>
    <w:qFormat/>
    <w:uiPriority w:val="9"/>
    <w:pPr>
      <w:keepNext/>
      <w:keepLines/>
      <w:spacing w:before="260" w:after="260" w:line="416" w:lineRule="auto"/>
      <w:jc w:val="left"/>
      <w:outlineLvl w:val="1"/>
    </w:pPr>
    <w:rPr>
      <w:rFonts w:hAnsiTheme="majorHAnsi" w:cstheme="majorBidi"/>
      <w:b/>
      <w:bCs/>
      <w:sz w:val="32"/>
      <w:szCs w:val="32"/>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0">
    <w:name w:val="Default Paragraph Font"/>
    <w:autoRedefine/>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200" w:firstLineChars="200"/>
    </w:pPr>
    <w:rPr>
      <w:szCs w:val="24"/>
    </w:rPr>
  </w:style>
  <w:style w:type="paragraph" w:styleId="6">
    <w:name w:val="Body Text"/>
    <w:basedOn w:val="1"/>
    <w:autoRedefine/>
    <w:unhideWhenUsed/>
    <w:qFormat/>
    <w:uiPriority w:val="99"/>
    <w:pPr>
      <w:spacing w:after="120" w:line="360" w:lineRule="auto"/>
    </w:pPr>
    <w:rPr>
      <w:rFonts w:ascii="宋体" w:hAnsi="宋体" w:cs="宋体"/>
      <w:szCs w:val="20"/>
    </w:rPr>
  </w:style>
  <w:style w:type="paragraph" w:styleId="7">
    <w:name w:val="footer"/>
    <w:basedOn w:val="1"/>
    <w:autoRedefine/>
    <w:unhideWhenUsed/>
    <w:qFormat/>
    <w:uiPriority w:val="99"/>
    <w:pPr>
      <w:tabs>
        <w:tab w:val="center" w:pos="4153"/>
        <w:tab w:val="right" w:pos="8306"/>
      </w:tabs>
      <w:snapToGrid w:val="0"/>
      <w:jc w:val="left"/>
    </w:pPr>
    <w:rPr>
      <w:sz w:val="18"/>
      <w:szCs w:val="18"/>
    </w:rPr>
  </w:style>
  <w:style w:type="table" w:styleId="9">
    <w:name w:val="Table Grid"/>
    <w:basedOn w:val="8"/>
    <w:autoRedefin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qFormat/>
    <w:uiPriority w:val="0"/>
    <w:rPr>
      <w:color w:val="0000FF"/>
      <w:u w:val="single"/>
    </w:rPr>
  </w:style>
  <w:style w:type="character" w:customStyle="1" w:styleId="12">
    <w:name w:val="标题 2 字符"/>
    <w:basedOn w:val="10"/>
    <w:link w:val="3"/>
    <w:autoRedefine/>
    <w:qFormat/>
    <w:uiPriority w:val="9"/>
    <w:rPr>
      <w:rFonts w:hAnsiTheme="majorHAnsi" w:cstheme="majorBidi"/>
      <w:b/>
      <w:bCs/>
      <w:sz w:val="32"/>
      <w:szCs w:val="32"/>
    </w:rPr>
  </w:style>
  <w:style w:type="character" w:customStyle="1" w:styleId="13">
    <w:name w:val="font11"/>
    <w:basedOn w:val="10"/>
    <w:autoRedefine/>
    <w:qFormat/>
    <w:uiPriority w:val="0"/>
    <w:rPr>
      <w:rFonts w:hint="eastAsia" w:ascii="宋体" w:hAnsi="宋体" w:eastAsia="宋体" w:cs="宋体"/>
      <w:b/>
      <w:bCs/>
      <w:color w:val="000000"/>
      <w:sz w:val="24"/>
      <w:szCs w:val="24"/>
      <w:u w:val="none"/>
    </w:rPr>
  </w:style>
  <w:style w:type="paragraph" w:styleId="14">
    <w:name w:val="List Paragraph"/>
    <w:basedOn w:val="1"/>
    <w:autoRedefine/>
    <w:qFormat/>
    <w:uiPriority w:val="34"/>
    <w:pPr>
      <w:ind w:firstLine="420" w:firstLineChars="200"/>
    </w:pPr>
    <w:rPr>
      <w:rFonts w:asciiTheme="minorHAnsi" w:hAnsiTheme="minorHAnsi" w:eastAsiaTheme="minorEastAsia"/>
      <w:sz w:val="21"/>
    </w:rPr>
  </w:style>
  <w:style w:type="paragraph" w:customStyle="1" w:styleId="15">
    <w:name w:val="样式1"/>
    <w:basedOn w:val="1"/>
    <w:autoRedefine/>
    <w:qFormat/>
    <w:uiPriority w:val="0"/>
    <w:pPr>
      <w:adjustRightInd w:val="0"/>
      <w:spacing w:line="420" w:lineRule="auto"/>
      <w:jc w:val="center"/>
      <w:textAlignment w:val="baseline"/>
    </w:pPr>
    <w:rPr>
      <w:rFonts w:ascii="宋体"/>
      <w:kern w:val="0"/>
      <w:sz w:val="24"/>
    </w:rPr>
  </w:style>
  <w:style w:type="character" w:customStyle="1" w:styleId="16">
    <w:name w:val="fontstyle01"/>
    <w:basedOn w:val="10"/>
    <w:autoRedefine/>
    <w:qFormat/>
    <w:uiPriority w:val="0"/>
    <w:rPr>
      <w:rFonts w:hint="eastAsia" w:ascii="宋体" w:hAnsi="宋体" w:eastAsia="宋体"/>
      <w:color w:val="000000"/>
      <w:sz w:val="28"/>
      <w:szCs w:val="28"/>
    </w:rPr>
  </w:style>
  <w:style w:type="character" w:customStyle="1" w:styleId="17">
    <w:name w:val="font61"/>
    <w:basedOn w:val="10"/>
    <w:qFormat/>
    <w:uiPriority w:val="0"/>
    <w:rPr>
      <w:rFonts w:hint="default" w:ascii="Segoe UI" w:hAnsi="Segoe UI" w:eastAsia="Segoe UI" w:cs="Segoe UI"/>
      <w:b/>
      <w:bCs/>
      <w:color w:val="222222"/>
      <w:sz w:val="18"/>
      <w:szCs w:val="18"/>
      <w:u w:val="none"/>
    </w:rPr>
  </w:style>
  <w:style w:type="character" w:customStyle="1" w:styleId="18">
    <w:name w:val="font112"/>
    <w:basedOn w:val="10"/>
    <w:qFormat/>
    <w:uiPriority w:val="0"/>
    <w:rPr>
      <w:rFonts w:hint="eastAsia" w:ascii="宋体" w:hAnsi="宋体" w:eastAsia="宋体" w:cs="宋体"/>
      <w:b/>
      <w:bCs/>
      <w:color w:val="222222"/>
      <w:sz w:val="18"/>
      <w:szCs w:val="18"/>
      <w:u w:val="none"/>
    </w:rPr>
  </w:style>
  <w:style w:type="character" w:customStyle="1" w:styleId="19">
    <w:name w:val="font101"/>
    <w:basedOn w:val="10"/>
    <w:qFormat/>
    <w:uiPriority w:val="0"/>
    <w:rPr>
      <w:rFonts w:hint="eastAsia" w:ascii="宋体" w:hAnsi="宋体" w:eastAsia="宋体" w:cs="宋体"/>
      <w:b/>
      <w:bCs/>
      <w:color w:val="000000"/>
      <w:sz w:val="18"/>
      <w:szCs w:val="18"/>
      <w:u w:val="none"/>
    </w:rPr>
  </w:style>
  <w:style w:type="character" w:customStyle="1" w:styleId="20">
    <w:name w:val="font21"/>
    <w:basedOn w:val="10"/>
    <w:qFormat/>
    <w:uiPriority w:val="0"/>
    <w:rPr>
      <w:rFonts w:ascii="Arial" w:hAnsi="Arial" w:cs="Arial"/>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5319</Words>
  <Characters>5496</Characters>
  <Lines>126</Lines>
  <Paragraphs>35</Paragraphs>
  <TotalTime>38</TotalTime>
  <ScaleCrop>false</ScaleCrop>
  <LinksUpToDate>false</LinksUpToDate>
  <CharactersWithSpaces>6018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2023-07-25T12:21:00Z</dcterms:created>
  <dc:creator>生产技术部-张福林</dc:creator>
  <cp:lastModifiedBy>。。</cp:lastModifiedBy>
  <cp:lastPrinted>2025-05-20T00:43:00Z</cp:lastPrinted>
  <dcterms:modified xsi:type="dcterms:W3CDTF">2026-06-16T02:18:37Z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B2F4F4E359C640D08257C4088FCEA837_13</vt:lpwstr>
  </property>
  <property fmtid="{D5CDD505-2E9C-101B-9397-08002B2CF9AE}" pid="4" name="KSOTemplateDocerSaveRecord">
    <vt:lpwstr>eyJoZGlkIjoiNGVkZGQ3MWQ2YTJkMGE2MWJkMDU0ZGRkZGE1ZjM0ODUiLCJ1c2VySWQiOiIxMDQyOTI3MTcwIn0=</vt:lpwstr>
  </property>
</Properties>
</file>